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1DA" w:rsidRDefault="00F431DA" w:rsidP="0012018F">
      <w:pPr>
        <w:keepNext/>
        <w:jc w:val="center"/>
        <w:outlineLvl w:val="2"/>
        <w:rPr>
          <w:b/>
          <w:szCs w:val="22"/>
          <w:u w:val="single"/>
        </w:rPr>
      </w:pPr>
      <w:bookmarkStart w:id="0" w:name="_Toc222125177"/>
      <w:r w:rsidRPr="00F431DA">
        <w:rPr>
          <w:b/>
          <w:szCs w:val="22"/>
          <w:u w:val="single"/>
        </w:rPr>
        <w:t>S</w:t>
      </w:r>
      <w:bookmarkEnd w:id="0"/>
      <w:r w:rsidR="005E4154">
        <w:rPr>
          <w:b/>
          <w:szCs w:val="22"/>
          <w:u w:val="single"/>
        </w:rPr>
        <w:t>TAIRWAY</w:t>
      </w:r>
      <w:r w:rsidR="00B66B92">
        <w:rPr>
          <w:b/>
          <w:szCs w:val="22"/>
          <w:u w:val="single"/>
        </w:rPr>
        <w:t xml:space="preserve"> AND LADDER SAFETY</w:t>
      </w:r>
    </w:p>
    <w:p w:rsidR="005E4154" w:rsidRPr="00F431DA" w:rsidRDefault="005E4154" w:rsidP="0012018F">
      <w:pPr>
        <w:keepNext/>
        <w:jc w:val="center"/>
        <w:outlineLvl w:val="2"/>
        <w:rPr>
          <w:b/>
          <w:szCs w:val="22"/>
          <w:u w:val="single"/>
        </w:rPr>
      </w:pPr>
    </w:p>
    <w:p w:rsidR="005E4154" w:rsidRDefault="005E4154" w:rsidP="005E4154">
      <w:pPr>
        <w:tabs>
          <w:tab w:val="left" w:pos="8820"/>
        </w:tabs>
        <w:spacing w:after="160" w:line="259" w:lineRule="auto"/>
        <w:jc w:val="both"/>
        <w:rPr>
          <w:rFonts w:eastAsia="Calibri"/>
          <w:sz w:val="20"/>
          <w:szCs w:val="22"/>
        </w:rPr>
      </w:pPr>
      <w:r w:rsidRPr="005E4154">
        <w:rPr>
          <w:rFonts w:eastAsia="Calibri"/>
          <w:sz w:val="20"/>
          <w:szCs w:val="22"/>
        </w:rPr>
        <w:t xml:space="preserve">Ladders present unique opportunities for unsafe acts and unsafe conditions. Therefore, it is </w:t>
      </w:r>
      <w:r>
        <w:rPr>
          <w:rFonts w:eastAsia="Calibri"/>
          <w:sz w:val="20"/>
          <w:szCs w:val="22"/>
        </w:rPr>
        <w:t>Piedmont Service Group's (PSG)</w:t>
      </w:r>
      <w:r w:rsidRPr="005E4154">
        <w:rPr>
          <w:rFonts w:eastAsia="Calibri"/>
          <w:sz w:val="20"/>
          <w:szCs w:val="22"/>
        </w:rPr>
        <w:t xml:space="preserve"> policy that all employees who use ladders must be trained in proper selection, inspection, use and storage.  A competent person shall visually inspect ladders for defects </w:t>
      </w:r>
      <w:r>
        <w:rPr>
          <w:rFonts w:eastAsia="Calibri"/>
          <w:sz w:val="20"/>
          <w:szCs w:val="22"/>
        </w:rPr>
        <w:t xml:space="preserve">before each use and </w:t>
      </w:r>
      <w:r w:rsidRPr="005E4154">
        <w:rPr>
          <w:rFonts w:eastAsia="Calibri"/>
          <w:sz w:val="20"/>
          <w:szCs w:val="22"/>
        </w:rPr>
        <w:t xml:space="preserve">after any occurrence that could affect their </w:t>
      </w:r>
      <w:r w:rsidR="00AF2E73">
        <w:rPr>
          <w:rFonts w:eastAsia="Calibri"/>
          <w:sz w:val="20"/>
          <w:szCs w:val="22"/>
        </w:rPr>
        <w:t>performance</w:t>
      </w:r>
      <w:r w:rsidRPr="005E4154">
        <w:rPr>
          <w:rFonts w:eastAsia="Calibri"/>
          <w:sz w:val="20"/>
          <w:szCs w:val="22"/>
        </w:rPr>
        <w:t>. Ladders found to be unsafe or defective shall be removed from service and tagged “Do Not Use”.  All portable ladders must meet and be maintained per OSHA/ANSI standards.</w:t>
      </w:r>
      <w:r>
        <w:rPr>
          <w:rFonts w:eastAsia="Calibri"/>
          <w:sz w:val="20"/>
          <w:szCs w:val="22"/>
        </w:rPr>
        <w:t xml:space="preserve"> As a general rule, only Type </w:t>
      </w:r>
      <w:proofErr w:type="spellStart"/>
      <w:r>
        <w:rPr>
          <w:rFonts w:eastAsia="Calibri"/>
          <w:sz w:val="20"/>
          <w:szCs w:val="22"/>
        </w:rPr>
        <w:t>1A</w:t>
      </w:r>
      <w:proofErr w:type="spellEnd"/>
      <w:r>
        <w:rPr>
          <w:rFonts w:eastAsia="Calibri"/>
          <w:sz w:val="20"/>
          <w:szCs w:val="22"/>
        </w:rPr>
        <w:t xml:space="preserve"> and Type </w:t>
      </w:r>
      <w:proofErr w:type="spellStart"/>
      <w:r>
        <w:rPr>
          <w:rFonts w:eastAsia="Calibri"/>
          <w:sz w:val="20"/>
          <w:szCs w:val="22"/>
        </w:rPr>
        <w:t>1AA</w:t>
      </w:r>
      <w:proofErr w:type="spellEnd"/>
      <w:r>
        <w:rPr>
          <w:rFonts w:eastAsia="Calibri"/>
          <w:sz w:val="20"/>
          <w:szCs w:val="22"/>
        </w:rPr>
        <w:t xml:space="preserve"> are to be used. A different capacity may be used if it can be shown that the rating is sufficient for all workers and applications.</w:t>
      </w:r>
    </w:p>
    <w:p w:rsidR="007A4B21" w:rsidRDefault="007A4B21" w:rsidP="005E4154">
      <w:pPr>
        <w:tabs>
          <w:tab w:val="left" w:pos="8820"/>
        </w:tabs>
        <w:spacing w:after="160" w:line="259" w:lineRule="auto"/>
        <w:jc w:val="both"/>
        <w:rPr>
          <w:rFonts w:eastAsia="Calibri"/>
          <w:sz w:val="20"/>
          <w:szCs w:val="22"/>
        </w:rPr>
      </w:pPr>
    </w:p>
    <w:p w:rsidR="005E4154" w:rsidRDefault="00FA260D" w:rsidP="005E4154">
      <w:pPr>
        <w:tabs>
          <w:tab w:val="left" w:pos="8820"/>
        </w:tabs>
        <w:spacing w:after="160" w:line="259" w:lineRule="auto"/>
        <w:jc w:val="center"/>
        <w:rPr>
          <w:rFonts w:eastAsia="Calibri"/>
          <w:sz w:val="20"/>
          <w:szCs w:val="22"/>
        </w:rPr>
      </w:pPr>
      <w:r>
        <w:rPr>
          <w:rFonts w:eastAsia="Calibri"/>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181.8pt">
            <v:imagedata r:id="rId8" o:title="Werner---Popup"/>
          </v:shape>
        </w:pict>
      </w:r>
    </w:p>
    <w:p w:rsidR="007A4B21" w:rsidRDefault="007A4B21" w:rsidP="005E4154">
      <w:pPr>
        <w:tabs>
          <w:tab w:val="left" w:pos="8820"/>
        </w:tabs>
        <w:spacing w:after="160" w:line="259" w:lineRule="auto"/>
        <w:jc w:val="center"/>
        <w:rPr>
          <w:rFonts w:eastAsia="Calibri"/>
          <w:sz w:val="20"/>
          <w:szCs w:val="22"/>
        </w:rPr>
      </w:pPr>
    </w:p>
    <w:p w:rsidR="007A4B21" w:rsidRDefault="007A4B21" w:rsidP="005E4154">
      <w:pPr>
        <w:tabs>
          <w:tab w:val="left" w:pos="8820"/>
        </w:tabs>
        <w:spacing w:after="160" w:line="259" w:lineRule="auto"/>
        <w:jc w:val="center"/>
        <w:rPr>
          <w:rFonts w:eastAsia="Calibri"/>
          <w:b/>
          <w:szCs w:val="22"/>
          <w:u w:val="single"/>
        </w:rPr>
      </w:pPr>
      <w:r w:rsidRPr="007A4B21">
        <w:rPr>
          <w:rFonts w:eastAsia="Calibri"/>
          <w:b/>
          <w:szCs w:val="22"/>
          <w:u w:val="single"/>
        </w:rPr>
        <w:t>Training</w:t>
      </w:r>
    </w:p>
    <w:p w:rsidR="007A4B21" w:rsidRDefault="007A4B21" w:rsidP="007A4B21">
      <w:pPr>
        <w:numPr>
          <w:ilvl w:val="2"/>
          <w:numId w:val="0"/>
        </w:numPr>
        <w:tabs>
          <w:tab w:val="left" w:pos="1620"/>
        </w:tabs>
        <w:spacing w:before="240" w:after="160"/>
        <w:ind w:left="900" w:hanging="900"/>
        <w:contextualSpacing/>
        <w:jc w:val="both"/>
        <w:outlineLvl w:val="0"/>
        <w:rPr>
          <w:rFonts w:eastAsia="Calibri" w:cs="Arial"/>
          <w:sz w:val="20"/>
          <w:szCs w:val="20"/>
        </w:rPr>
      </w:pPr>
      <w:r w:rsidRPr="007A4B21">
        <w:rPr>
          <w:rFonts w:eastAsia="Calibri" w:cs="Arial"/>
          <w:sz w:val="20"/>
          <w:szCs w:val="20"/>
        </w:rPr>
        <w:t>All employees using or constructing ladders shall be trained to recognize ha</w:t>
      </w:r>
      <w:r>
        <w:rPr>
          <w:rFonts w:eastAsia="Calibri" w:cs="Arial"/>
          <w:sz w:val="20"/>
          <w:szCs w:val="20"/>
        </w:rPr>
        <w:t>zards related to ladders and to</w:t>
      </w:r>
    </w:p>
    <w:p w:rsidR="007A4B21" w:rsidRDefault="007A4B21" w:rsidP="007A4B21">
      <w:pPr>
        <w:numPr>
          <w:ilvl w:val="2"/>
          <w:numId w:val="0"/>
        </w:numPr>
        <w:tabs>
          <w:tab w:val="left" w:pos="1620"/>
        </w:tabs>
        <w:spacing w:before="240" w:after="160"/>
        <w:ind w:left="900" w:hanging="900"/>
        <w:contextualSpacing/>
        <w:jc w:val="both"/>
        <w:outlineLvl w:val="0"/>
        <w:rPr>
          <w:rFonts w:eastAsia="Calibri" w:cs="Arial"/>
          <w:sz w:val="20"/>
          <w:szCs w:val="20"/>
        </w:rPr>
      </w:pPr>
      <w:r w:rsidRPr="007A4B21">
        <w:rPr>
          <w:rFonts w:eastAsia="Calibri" w:cs="Arial"/>
          <w:sz w:val="20"/>
          <w:szCs w:val="20"/>
        </w:rPr>
        <w:t>use proper procedures to minimize these hazards.  Employees shall be tr</w:t>
      </w:r>
      <w:r>
        <w:rPr>
          <w:rFonts w:eastAsia="Calibri" w:cs="Arial"/>
          <w:sz w:val="20"/>
          <w:szCs w:val="20"/>
        </w:rPr>
        <w:t>ained to demonstrate competency</w:t>
      </w:r>
    </w:p>
    <w:p w:rsidR="007A4B21" w:rsidRDefault="007A4B21" w:rsidP="007A4B21">
      <w:pPr>
        <w:numPr>
          <w:ilvl w:val="2"/>
          <w:numId w:val="0"/>
        </w:numPr>
        <w:tabs>
          <w:tab w:val="left" w:pos="1620"/>
        </w:tabs>
        <w:spacing w:before="240" w:after="160"/>
        <w:ind w:left="900" w:hanging="900"/>
        <w:contextualSpacing/>
        <w:jc w:val="both"/>
        <w:outlineLvl w:val="0"/>
        <w:rPr>
          <w:rFonts w:eastAsia="Calibri" w:cs="Arial"/>
          <w:sz w:val="20"/>
          <w:szCs w:val="20"/>
        </w:rPr>
      </w:pPr>
      <w:r w:rsidRPr="007A4B21">
        <w:rPr>
          <w:rFonts w:eastAsia="Calibri" w:cs="Arial"/>
          <w:sz w:val="20"/>
          <w:szCs w:val="20"/>
        </w:rPr>
        <w:t>in the following areas</w:t>
      </w:r>
      <w:r>
        <w:rPr>
          <w:rFonts w:eastAsia="Calibri" w:cs="Arial"/>
          <w:sz w:val="20"/>
          <w:szCs w:val="20"/>
        </w:rPr>
        <w:t>:</w:t>
      </w:r>
    </w:p>
    <w:p w:rsidR="007A4B21" w:rsidRPr="007A4B21" w:rsidRDefault="007A4B21" w:rsidP="007A4B21">
      <w:pPr>
        <w:numPr>
          <w:ilvl w:val="2"/>
          <w:numId w:val="0"/>
        </w:numPr>
        <w:tabs>
          <w:tab w:val="left" w:pos="1620"/>
        </w:tabs>
        <w:spacing w:before="240" w:after="160"/>
        <w:ind w:left="900" w:hanging="900"/>
        <w:contextualSpacing/>
        <w:jc w:val="both"/>
        <w:outlineLvl w:val="0"/>
        <w:rPr>
          <w:rFonts w:eastAsia="Calibri" w:cs="Arial"/>
          <w:sz w:val="20"/>
          <w:szCs w:val="20"/>
        </w:rPr>
      </w:pPr>
    </w:p>
    <w:p w:rsidR="007A4B21" w:rsidRPr="007A4B21" w:rsidRDefault="007A4B21" w:rsidP="007A4B21">
      <w:pPr>
        <w:numPr>
          <w:ilvl w:val="3"/>
          <w:numId w:val="0"/>
        </w:numPr>
        <w:spacing w:after="160" w:line="259" w:lineRule="auto"/>
        <w:ind w:left="1080" w:hanging="1080"/>
        <w:contextualSpacing/>
        <w:jc w:val="both"/>
        <w:outlineLvl w:val="0"/>
        <w:rPr>
          <w:rFonts w:eastAsia="Calibri"/>
          <w:sz w:val="20"/>
          <w:szCs w:val="22"/>
        </w:rPr>
      </w:pPr>
      <w:r>
        <w:rPr>
          <w:rFonts w:eastAsia="Calibri"/>
          <w:sz w:val="20"/>
          <w:szCs w:val="22"/>
        </w:rPr>
        <w:tab/>
        <w:t>•</w:t>
      </w:r>
      <w:r w:rsidRPr="007A4B21">
        <w:rPr>
          <w:rFonts w:eastAsia="Calibri"/>
          <w:sz w:val="20"/>
          <w:szCs w:val="22"/>
        </w:rPr>
        <w:t>The nature of fall hazards in the work areas</w:t>
      </w:r>
      <w:r w:rsidR="00AF2E73">
        <w:rPr>
          <w:rFonts w:eastAsia="Calibri"/>
          <w:sz w:val="20"/>
          <w:szCs w:val="22"/>
        </w:rPr>
        <w:t>.</w:t>
      </w:r>
    </w:p>
    <w:p w:rsidR="007A4B21" w:rsidRPr="007A4B21" w:rsidRDefault="007A4B21" w:rsidP="007A4B21">
      <w:pPr>
        <w:spacing w:after="160" w:line="259" w:lineRule="auto"/>
        <w:ind w:left="720"/>
        <w:contextualSpacing/>
        <w:jc w:val="both"/>
        <w:outlineLvl w:val="0"/>
        <w:rPr>
          <w:rFonts w:eastAsia="Calibri"/>
          <w:sz w:val="20"/>
          <w:szCs w:val="22"/>
        </w:rPr>
      </w:pPr>
    </w:p>
    <w:p w:rsidR="007A4B21" w:rsidRPr="007A4B21" w:rsidRDefault="007A4B21" w:rsidP="007A4B21">
      <w:pPr>
        <w:numPr>
          <w:ilvl w:val="3"/>
          <w:numId w:val="0"/>
        </w:numPr>
        <w:spacing w:after="160" w:line="259" w:lineRule="auto"/>
        <w:ind w:left="1080" w:hanging="1080"/>
        <w:contextualSpacing/>
        <w:jc w:val="both"/>
        <w:outlineLvl w:val="0"/>
        <w:rPr>
          <w:rFonts w:eastAsia="Calibri"/>
          <w:sz w:val="20"/>
          <w:szCs w:val="22"/>
        </w:rPr>
      </w:pPr>
      <w:r>
        <w:rPr>
          <w:rFonts w:eastAsia="Calibri"/>
          <w:sz w:val="20"/>
          <w:szCs w:val="22"/>
        </w:rPr>
        <w:tab/>
        <w:t>•</w:t>
      </w:r>
      <w:r w:rsidRPr="007A4B21">
        <w:rPr>
          <w:rFonts w:eastAsia="Calibri"/>
          <w:sz w:val="20"/>
          <w:szCs w:val="22"/>
        </w:rPr>
        <w:t xml:space="preserve">The proper construction, use, placement and </w:t>
      </w:r>
      <w:r>
        <w:rPr>
          <w:rFonts w:eastAsia="Calibri"/>
          <w:sz w:val="20"/>
          <w:szCs w:val="22"/>
        </w:rPr>
        <w:t>care in handling of all ladders</w:t>
      </w:r>
      <w:r w:rsidR="00AF2E73">
        <w:rPr>
          <w:rFonts w:eastAsia="Calibri"/>
          <w:sz w:val="20"/>
          <w:szCs w:val="22"/>
        </w:rPr>
        <w:t>.</w:t>
      </w:r>
    </w:p>
    <w:p w:rsidR="007A4B21" w:rsidRPr="007A4B21" w:rsidRDefault="007A4B21" w:rsidP="007A4B21">
      <w:pPr>
        <w:spacing w:after="160" w:line="259" w:lineRule="auto"/>
        <w:ind w:left="720"/>
        <w:contextualSpacing/>
        <w:jc w:val="both"/>
        <w:outlineLvl w:val="0"/>
        <w:rPr>
          <w:rFonts w:eastAsia="Calibri"/>
          <w:sz w:val="20"/>
          <w:szCs w:val="22"/>
        </w:rPr>
      </w:pP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r>
        <w:rPr>
          <w:rFonts w:eastAsia="Calibri"/>
          <w:sz w:val="20"/>
          <w:szCs w:val="22"/>
        </w:rPr>
        <w:tab/>
        <w:t>•</w:t>
      </w:r>
      <w:r w:rsidRPr="007A4B21">
        <w:rPr>
          <w:rFonts w:eastAsia="Calibri"/>
          <w:sz w:val="20"/>
          <w:szCs w:val="22"/>
        </w:rPr>
        <w:t>The maximum intended load carrying capacities of ladders used</w:t>
      </w:r>
      <w:r w:rsidR="00AF2E73">
        <w:rPr>
          <w:rFonts w:eastAsia="Calibri"/>
          <w:sz w:val="20"/>
          <w:szCs w:val="22"/>
        </w:rPr>
        <w:t>.</w:t>
      </w:r>
    </w:p>
    <w:p w:rsidR="00F1735B" w:rsidRDefault="00F1735B" w:rsidP="007A4B21">
      <w:pPr>
        <w:numPr>
          <w:ilvl w:val="3"/>
          <w:numId w:val="0"/>
        </w:numPr>
        <w:spacing w:after="160" w:line="259" w:lineRule="auto"/>
        <w:ind w:left="1080" w:hanging="1080"/>
        <w:contextualSpacing/>
        <w:jc w:val="both"/>
        <w:outlineLvl w:val="0"/>
        <w:rPr>
          <w:rFonts w:eastAsia="Calibri"/>
          <w:sz w:val="20"/>
          <w:szCs w:val="22"/>
        </w:rPr>
      </w:pPr>
    </w:p>
    <w:p w:rsidR="00F1735B" w:rsidRDefault="00F1735B" w:rsidP="007A4B21">
      <w:pPr>
        <w:numPr>
          <w:ilvl w:val="3"/>
          <w:numId w:val="0"/>
        </w:numPr>
        <w:spacing w:after="160" w:line="259" w:lineRule="auto"/>
        <w:ind w:left="1080" w:hanging="1080"/>
        <w:contextualSpacing/>
        <w:jc w:val="both"/>
        <w:outlineLvl w:val="0"/>
        <w:rPr>
          <w:rFonts w:eastAsia="Calibri"/>
          <w:sz w:val="20"/>
          <w:szCs w:val="22"/>
        </w:rPr>
      </w:pPr>
      <w:r>
        <w:rPr>
          <w:rFonts w:eastAsia="Calibri"/>
          <w:sz w:val="20"/>
          <w:szCs w:val="22"/>
        </w:rPr>
        <w:tab/>
        <w:t>•The type of ladder required for the task</w:t>
      </w:r>
      <w:r w:rsidR="00AF2E73">
        <w:rPr>
          <w:rFonts w:eastAsia="Calibri"/>
          <w:sz w:val="20"/>
          <w:szCs w:val="22"/>
        </w:rPr>
        <w:t>.</w:t>
      </w: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p>
    <w:p w:rsidR="007A4B21" w:rsidRDefault="007A4B21" w:rsidP="007A4B21">
      <w:pPr>
        <w:numPr>
          <w:ilvl w:val="3"/>
          <w:numId w:val="0"/>
        </w:numPr>
        <w:spacing w:after="160" w:line="259" w:lineRule="auto"/>
        <w:ind w:left="1080" w:hanging="1080"/>
        <w:contextualSpacing/>
        <w:jc w:val="both"/>
        <w:outlineLvl w:val="0"/>
        <w:rPr>
          <w:rFonts w:eastAsia="Calibri"/>
          <w:sz w:val="20"/>
          <w:szCs w:val="22"/>
        </w:rPr>
      </w:pPr>
    </w:p>
    <w:p w:rsidR="00F1735B" w:rsidRDefault="00F1735B" w:rsidP="007A4B21">
      <w:pPr>
        <w:numPr>
          <w:ilvl w:val="3"/>
          <w:numId w:val="0"/>
        </w:numPr>
        <w:spacing w:after="160" w:line="259" w:lineRule="auto"/>
        <w:ind w:left="1080" w:hanging="1080"/>
        <w:contextualSpacing/>
        <w:jc w:val="center"/>
        <w:outlineLvl w:val="0"/>
        <w:rPr>
          <w:rFonts w:eastAsia="Calibri"/>
          <w:sz w:val="20"/>
          <w:szCs w:val="22"/>
        </w:rPr>
      </w:pPr>
    </w:p>
    <w:p w:rsidR="007A4B21" w:rsidRPr="007A4B21" w:rsidRDefault="007A4B21" w:rsidP="00D7694E">
      <w:pPr>
        <w:numPr>
          <w:ilvl w:val="3"/>
          <w:numId w:val="0"/>
        </w:numPr>
        <w:spacing w:after="160" w:line="259" w:lineRule="auto"/>
        <w:ind w:left="1080" w:hanging="1080"/>
        <w:contextualSpacing/>
        <w:jc w:val="center"/>
        <w:outlineLvl w:val="0"/>
        <w:rPr>
          <w:rFonts w:eastAsia="Calibri"/>
          <w:sz w:val="20"/>
          <w:szCs w:val="20"/>
        </w:rPr>
      </w:pPr>
      <w:r w:rsidRPr="007A4B21">
        <w:rPr>
          <w:rFonts w:eastAsia="Calibri"/>
          <w:b/>
          <w:szCs w:val="22"/>
          <w:u w:val="single"/>
        </w:rPr>
        <w:lastRenderedPageBreak/>
        <w:t>Types of Ladders</w:t>
      </w:r>
    </w:p>
    <w:p w:rsidR="007A4B21" w:rsidRPr="005E4154" w:rsidRDefault="007A4B21" w:rsidP="007A4B21">
      <w:pPr>
        <w:tabs>
          <w:tab w:val="left" w:pos="8820"/>
        </w:tabs>
        <w:spacing w:after="160" w:line="259" w:lineRule="auto"/>
        <w:rPr>
          <w:rFonts w:eastAsia="Calibri"/>
          <w:sz w:val="20"/>
          <w:szCs w:val="20"/>
        </w:rPr>
      </w:pPr>
    </w:p>
    <w:p w:rsidR="007A4B21" w:rsidRDefault="007A4B21" w:rsidP="007A4B21">
      <w:pPr>
        <w:numPr>
          <w:ilvl w:val="2"/>
          <w:numId w:val="0"/>
        </w:numPr>
        <w:tabs>
          <w:tab w:val="left" w:pos="1620"/>
        </w:tabs>
        <w:spacing w:before="240" w:after="160"/>
        <w:ind w:left="907" w:hanging="907"/>
        <w:contextualSpacing/>
        <w:jc w:val="both"/>
        <w:outlineLvl w:val="2"/>
        <w:rPr>
          <w:rFonts w:eastAsia="Calibri" w:cs="Arial"/>
          <w:sz w:val="20"/>
          <w:szCs w:val="20"/>
        </w:rPr>
      </w:pPr>
      <w:r w:rsidRPr="007A4B21">
        <w:rPr>
          <w:rFonts w:eastAsia="Calibri" w:cs="Arial"/>
          <w:sz w:val="20"/>
          <w:szCs w:val="20"/>
        </w:rPr>
        <w:t>There are generally two types of portable ladders, Stepladders (A Frame L</w:t>
      </w:r>
      <w:r>
        <w:rPr>
          <w:rFonts w:eastAsia="Calibri" w:cs="Arial"/>
          <w:sz w:val="20"/>
          <w:szCs w:val="20"/>
        </w:rPr>
        <w:t>adders) and Straight (Extension</w:t>
      </w:r>
    </w:p>
    <w:p w:rsidR="005D5B9F" w:rsidRDefault="007A4B21" w:rsidP="007A4B21">
      <w:pPr>
        <w:numPr>
          <w:ilvl w:val="2"/>
          <w:numId w:val="0"/>
        </w:numPr>
        <w:tabs>
          <w:tab w:val="left" w:pos="1620"/>
        </w:tabs>
        <w:spacing w:before="240" w:after="160"/>
        <w:ind w:left="907" w:hanging="907"/>
        <w:contextualSpacing/>
        <w:jc w:val="both"/>
        <w:outlineLvl w:val="2"/>
        <w:rPr>
          <w:rFonts w:eastAsia="Calibri" w:cs="Arial"/>
          <w:sz w:val="20"/>
          <w:szCs w:val="20"/>
        </w:rPr>
      </w:pPr>
      <w:r w:rsidRPr="007A4B21">
        <w:rPr>
          <w:rFonts w:eastAsia="Calibri" w:cs="Arial"/>
          <w:sz w:val="20"/>
          <w:szCs w:val="20"/>
        </w:rPr>
        <w:t xml:space="preserve">Ladders).  Each type of ladder has its own specific hazards and precautions. </w:t>
      </w:r>
    </w:p>
    <w:p w:rsidR="005D5B9F" w:rsidRDefault="005D5B9F" w:rsidP="007A4B21">
      <w:pPr>
        <w:numPr>
          <w:ilvl w:val="2"/>
          <w:numId w:val="0"/>
        </w:numPr>
        <w:tabs>
          <w:tab w:val="left" w:pos="1620"/>
        </w:tabs>
        <w:spacing w:before="240" w:after="160"/>
        <w:ind w:left="907" w:hanging="907"/>
        <w:contextualSpacing/>
        <w:jc w:val="both"/>
        <w:outlineLvl w:val="2"/>
        <w:rPr>
          <w:rFonts w:eastAsia="Calibri" w:cs="Arial"/>
          <w:sz w:val="20"/>
          <w:szCs w:val="20"/>
        </w:rPr>
      </w:pPr>
    </w:p>
    <w:p w:rsidR="007A4B21" w:rsidRPr="007A4B21" w:rsidRDefault="005D5B9F" w:rsidP="007A4B21">
      <w:pPr>
        <w:numPr>
          <w:ilvl w:val="2"/>
          <w:numId w:val="0"/>
        </w:numPr>
        <w:tabs>
          <w:tab w:val="left" w:pos="1620"/>
        </w:tabs>
        <w:spacing w:before="240" w:after="160"/>
        <w:ind w:left="907" w:hanging="907"/>
        <w:contextualSpacing/>
        <w:jc w:val="both"/>
        <w:outlineLvl w:val="2"/>
        <w:rPr>
          <w:rFonts w:eastAsia="Calibri" w:cs="Arial"/>
          <w:sz w:val="20"/>
          <w:szCs w:val="20"/>
        </w:rPr>
      </w:pPr>
      <w:r>
        <w:rPr>
          <w:rFonts w:eastAsia="Calibri" w:cs="Arial"/>
          <w:sz w:val="20"/>
          <w:szCs w:val="20"/>
        </w:rPr>
        <w:t xml:space="preserve">          </w:t>
      </w:r>
      <w:r w:rsidR="00E4255B">
        <w:rPr>
          <w:rFonts w:eastAsia="Calibri" w:cs="Arial"/>
          <w:sz w:val="20"/>
          <w:szCs w:val="20"/>
        </w:rPr>
        <w:pict>
          <v:shape id="_x0000_i1026" type="#_x0000_t75" style="width:166.2pt;height:166.2pt">
            <v:imagedata r:id="rId9" o:title="werner-step-ladders-nxt1a06-64_1000"/>
          </v:shape>
        </w:pict>
      </w:r>
      <w:r>
        <w:rPr>
          <w:rFonts w:eastAsia="Calibri" w:cs="Arial"/>
          <w:sz w:val="20"/>
          <w:szCs w:val="20"/>
        </w:rPr>
        <w:t xml:space="preserve">                      </w:t>
      </w:r>
      <w:r w:rsidR="00E4255B">
        <w:rPr>
          <w:rFonts w:eastAsia="Calibri" w:cs="Arial"/>
          <w:sz w:val="20"/>
          <w:szCs w:val="20"/>
        </w:rPr>
        <w:pict>
          <v:shape id="_x0000_i1027" type="#_x0000_t75" style="width:195.6pt;height:195.6pt">
            <v:imagedata r:id="rId10" o:title="051751019117"/>
          </v:shape>
        </w:pict>
      </w:r>
    </w:p>
    <w:p w:rsidR="00F431DA" w:rsidRDefault="005D5B9F" w:rsidP="00F431DA">
      <w:pPr>
        <w:jc w:val="both"/>
        <w:rPr>
          <w:b/>
          <w:szCs w:val="22"/>
        </w:rPr>
      </w:pPr>
      <w:r>
        <w:rPr>
          <w:b/>
          <w:szCs w:val="22"/>
        </w:rPr>
        <w:t xml:space="preserve">                     Type </w:t>
      </w:r>
      <w:proofErr w:type="spellStart"/>
      <w:r>
        <w:rPr>
          <w:b/>
          <w:szCs w:val="22"/>
        </w:rPr>
        <w:t>1A</w:t>
      </w:r>
      <w:proofErr w:type="spellEnd"/>
      <w:r>
        <w:rPr>
          <w:b/>
          <w:szCs w:val="22"/>
        </w:rPr>
        <w:t xml:space="preserve"> Stepladder</w:t>
      </w:r>
      <w:r>
        <w:rPr>
          <w:b/>
          <w:szCs w:val="22"/>
        </w:rPr>
        <w:tab/>
      </w:r>
      <w:r>
        <w:rPr>
          <w:b/>
          <w:szCs w:val="22"/>
        </w:rPr>
        <w:tab/>
      </w:r>
      <w:r>
        <w:rPr>
          <w:b/>
          <w:szCs w:val="22"/>
        </w:rPr>
        <w:tab/>
      </w:r>
      <w:r>
        <w:rPr>
          <w:b/>
          <w:szCs w:val="22"/>
        </w:rPr>
        <w:tab/>
        <w:t xml:space="preserve">Type </w:t>
      </w:r>
      <w:proofErr w:type="spellStart"/>
      <w:r>
        <w:rPr>
          <w:b/>
          <w:szCs w:val="22"/>
        </w:rPr>
        <w:t>1A</w:t>
      </w:r>
      <w:proofErr w:type="spellEnd"/>
      <w:r>
        <w:rPr>
          <w:b/>
          <w:szCs w:val="22"/>
        </w:rPr>
        <w:t xml:space="preserve"> Extension Ladder</w:t>
      </w:r>
    </w:p>
    <w:p w:rsidR="005D5B9F" w:rsidRDefault="005D5B9F" w:rsidP="00F431DA">
      <w:pPr>
        <w:jc w:val="both"/>
        <w:rPr>
          <w:b/>
          <w:szCs w:val="22"/>
        </w:rPr>
      </w:pPr>
    </w:p>
    <w:p w:rsidR="005D5B9F" w:rsidRDefault="005D5B9F" w:rsidP="005D5B9F">
      <w:pPr>
        <w:numPr>
          <w:ilvl w:val="1"/>
          <w:numId w:val="0"/>
        </w:numPr>
        <w:tabs>
          <w:tab w:val="left" w:pos="1620"/>
        </w:tabs>
        <w:spacing w:before="240" w:after="160"/>
        <w:ind w:left="1620" w:hanging="900"/>
        <w:contextualSpacing/>
        <w:jc w:val="center"/>
        <w:outlineLvl w:val="1"/>
        <w:rPr>
          <w:rFonts w:eastAsia="Calibri" w:cs="Arial"/>
          <w:b/>
          <w:szCs w:val="22"/>
          <w:u w:val="single"/>
        </w:rPr>
      </w:pPr>
    </w:p>
    <w:p w:rsidR="005D5B9F" w:rsidRDefault="005D5B9F" w:rsidP="00F23B9F">
      <w:pPr>
        <w:numPr>
          <w:ilvl w:val="1"/>
          <w:numId w:val="0"/>
        </w:numPr>
        <w:tabs>
          <w:tab w:val="left" w:pos="1620"/>
        </w:tabs>
        <w:spacing w:before="240" w:after="160"/>
        <w:ind w:left="900" w:hanging="900"/>
        <w:contextualSpacing/>
        <w:jc w:val="center"/>
        <w:outlineLvl w:val="1"/>
        <w:rPr>
          <w:rFonts w:eastAsia="Calibri" w:cs="Arial"/>
          <w:b/>
          <w:szCs w:val="22"/>
          <w:u w:val="single"/>
        </w:rPr>
      </w:pPr>
      <w:r w:rsidRPr="005D5B9F">
        <w:rPr>
          <w:rFonts w:eastAsia="Calibri" w:cs="Arial"/>
          <w:b/>
          <w:szCs w:val="22"/>
          <w:u w:val="single"/>
        </w:rPr>
        <w:t>General Safety Guidelines</w:t>
      </w:r>
    </w:p>
    <w:p w:rsidR="005D5B9F" w:rsidRPr="005D5B9F" w:rsidRDefault="005D5B9F" w:rsidP="005D5B9F">
      <w:pPr>
        <w:numPr>
          <w:ilvl w:val="1"/>
          <w:numId w:val="0"/>
        </w:numPr>
        <w:tabs>
          <w:tab w:val="left" w:pos="1620"/>
        </w:tabs>
        <w:spacing w:before="240" w:after="160"/>
        <w:ind w:left="1620" w:hanging="900"/>
        <w:contextualSpacing/>
        <w:jc w:val="center"/>
        <w:outlineLvl w:val="1"/>
        <w:rPr>
          <w:rFonts w:eastAsia="Calibri" w:cs="Arial"/>
          <w:b/>
          <w:szCs w:val="22"/>
          <w:u w:val="single"/>
        </w:rPr>
      </w:pPr>
    </w:p>
    <w:p w:rsidR="005D5B9F" w:rsidRPr="005D5B9F" w:rsidRDefault="00431871" w:rsidP="00F23B9F">
      <w:pPr>
        <w:numPr>
          <w:ilvl w:val="2"/>
          <w:numId w:val="0"/>
        </w:numPr>
        <w:tabs>
          <w:tab w:val="left" w:pos="1620"/>
        </w:tabs>
        <w:spacing w:before="240" w:after="160"/>
        <w:ind w:left="900" w:hanging="900"/>
        <w:contextualSpacing/>
        <w:jc w:val="both"/>
        <w:outlineLvl w:val="2"/>
        <w:rPr>
          <w:rFonts w:eastAsia="Calibri" w:cs="Arial"/>
          <w:sz w:val="20"/>
          <w:szCs w:val="20"/>
        </w:rPr>
      </w:pPr>
      <w:r>
        <w:rPr>
          <w:rFonts w:eastAsia="Calibri" w:cs="Arial"/>
          <w:spacing w:val="-1"/>
          <w:sz w:val="20"/>
          <w:szCs w:val="20"/>
        </w:rPr>
        <w:tab/>
      </w:r>
      <w:r w:rsidR="00F23B9F">
        <w:rPr>
          <w:rFonts w:eastAsia="Calibri" w:cs="Arial"/>
          <w:spacing w:val="-1"/>
          <w:sz w:val="20"/>
          <w:szCs w:val="20"/>
        </w:rPr>
        <w:tab/>
      </w:r>
      <w:r>
        <w:rPr>
          <w:rFonts w:eastAsia="Calibri" w:cs="Arial"/>
          <w:spacing w:val="-1"/>
          <w:sz w:val="20"/>
          <w:szCs w:val="20"/>
        </w:rPr>
        <w:t>•</w:t>
      </w:r>
      <w:r w:rsidR="005D5B9F" w:rsidRPr="005D5B9F">
        <w:rPr>
          <w:rFonts w:eastAsia="Calibri" w:cs="Arial"/>
          <w:spacing w:val="-1"/>
          <w:sz w:val="20"/>
          <w:szCs w:val="20"/>
        </w:rPr>
        <w:t xml:space="preserve">Ladders </w:t>
      </w:r>
      <w:r w:rsidR="005D5B9F" w:rsidRPr="005D5B9F">
        <w:rPr>
          <w:rFonts w:eastAsia="Calibri" w:cs="Arial"/>
          <w:sz w:val="20"/>
          <w:szCs w:val="20"/>
        </w:rPr>
        <w:t>shall only be used for the purpose for which they were designed.</w:t>
      </w:r>
    </w:p>
    <w:p w:rsidR="005D5B9F" w:rsidRPr="005D5B9F" w:rsidRDefault="00431871"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sidR="00F23B9F">
        <w:rPr>
          <w:rFonts w:eastAsia="Calibri" w:cs="Arial"/>
          <w:sz w:val="20"/>
          <w:szCs w:val="20"/>
        </w:rPr>
        <w:tab/>
      </w:r>
      <w:r>
        <w:rPr>
          <w:rFonts w:eastAsia="Calibri" w:cs="Arial"/>
          <w:sz w:val="20"/>
          <w:szCs w:val="20"/>
        </w:rPr>
        <w:t>•</w:t>
      </w:r>
      <w:r w:rsidR="005D5B9F" w:rsidRPr="005D5B9F">
        <w:rPr>
          <w:rFonts w:eastAsia="Calibri" w:cs="Arial"/>
          <w:sz w:val="20"/>
          <w:szCs w:val="20"/>
        </w:rPr>
        <w:t>Ladders shall be inspected before use. Defective ladders must be removed from service.</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 xml:space="preserve">Ladders shall be secured in position to prevent slipping. </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 xml:space="preserve">Always be sure to place the ladder on solid ground or footing. </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•Ladder rungs,</w:t>
      </w:r>
      <w:r w:rsidR="005D5B9F" w:rsidRPr="005D5B9F">
        <w:rPr>
          <w:rFonts w:eastAsia="Calibri" w:cs="Arial"/>
          <w:sz w:val="20"/>
          <w:szCs w:val="20"/>
        </w:rPr>
        <w:t xml:space="preserve"> and steps shall be parallel, level and uniformly spaced while in use.</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Ladders may not be used in horizontal positions for use as platforms.</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 xml:space="preserve">Wooden </w:t>
      </w:r>
      <w:r w:rsidR="00F1735B">
        <w:rPr>
          <w:rFonts w:eastAsia="Calibri" w:cs="Arial"/>
          <w:sz w:val="20"/>
          <w:szCs w:val="20"/>
        </w:rPr>
        <w:t>step</w:t>
      </w:r>
      <w:r w:rsidR="005D5B9F" w:rsidRPr="005D5B9F">
        <w:rPr>
          <w:rFonts w:eastAsia="Calibri" w:cs="Arial"/>
          <w:sz w:val="20"/>
          <w:szCs w:val="20"/>
        </w:rPr>
        <w:t xml:space="preserve">ladders shall </w:t>
      </w:r>
      <w:r>
        <w:rPr>
          <w:rFonts w:eastAsia="Calibri" w:cs="Arial"/>
          <w:sz w:val="20"/>
          <w:szCs w:val="20"/>
        </w:rPr>
        <w:t>not be used</w:t>
      </w:r>
      <w:r w:rsidR="005D5B9F" w:rsidRPr="005D5B9F">
        <w:rPr>
          <w:rFonts w:eastAsia="Calibri" w:cs="Arial"/>
          <w:sz w:val="20"/>
          <w:szCs w:val="20"/>
        </w:rPr>
        <w:t>.</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Metal ladders shall never be used on or around exposed electrical elements.</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Ladders shall be kept free of oil, grease, dirt, etc.</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Move the ladder with your work and do not overextend beyond the rails of the ladder.</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When climbing or descending a ladder always face the ladder and hold onto each rail.</w:t>
      </w:r>
    </w:p>
    <w:p w:rsidR="005D5B9F" w:rsidRP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•C</w:t>
      </w:r>
      <w:r w:rsidR="005D5B9F" w:rsidRPr="005D5B9F">
        <w:rPr>
          <w:rFonts w:eastAsia="Calibri" w:cs="Arial"/>
          <w:sz w:val="20"/>
          <w:szCs w:val="20"/>
        </w:rPr>
        <w:t>arry tools and materials in proper carrying devices in order to keep your hands free.</w:t>
      </w:r>
    </w:p>
    <w:p w:rsidR="005D5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w:t>
      </w:r>
      <w:r w:rsidR="005D5B9F" w:rsidRPr="005D5B9F">
        <w:rPr>
          <w:rFonts w:eastAsia="Calibri" w:cs="Arial"/>
          <w:sz w:val="20"/>
          <w:szCs w:val="20"/>
        </w:rPr>
        <w:t>Do not exceed load limits specified for the particular ladder in use.</w:t>
      </w:r>
    </w:p>
    <w:p w:rsidR="00F1735B" w:rsidRDefault="00F1735B" w:rsidP="00F23B9F">
      <w:pPr>
        <w:numPr>
          <w:ilvl w:val="2"/>
          <w:numId w:val="0"/>
        </w:numPr>
        <w:tabs>
          <w:tab w:val="left" w:pos="1620"/>
        </w:tabs>
        <w:spacing w:before="240" w:after="160"/>
        <w:ind w:hanging="900"/>
        <w:contextualSpacing/>
        <w:jc w:val="both"/>
        <w:outlineLvl w:val="2"/>
        <w:rPr>
          <w:rFonts w:eastAsia="Calibri" w:cs="Arial"/>
          <w:sz w:val="20"/>
          <w:szCs w:val="20"/>
        </w:rPr>
      </w:pPr>
      <w:r>
        <w:rPr>
          <w:rFonts w:eastAsia="Calibri" w:cs="Arial"/>
          <w:sz w:val="20"/>
          <w:szCs w:val="20"/>
        </w:rPr>
        <w:tab/>
      </w:r>
      <w:r>
        <w:rPr>
          <w:rFonts w:eastAsia="Calibri" w:cs="Arial"/>
          <w:sz w:val="20"/>
          <w:szCs w:val="20"/>
        </w:rPr>
        <w:tab/>
        <w:t>•Keep your belt buckle within the side rails. Do not reach past the ladder.</w:t>
      </w:r>
    </w:p>
    <w:p w:rsidR="00F23B9F" w:rsidRDefault="00F23B9F" w:rsidP="00F23B9F">
      <w:pPr>
        <w:numPr>
          <w:ilvl w:val="2"/>
          <w:numId w:val="0"/>
        </w:numPr>
        <w:tabs>
          <w:tab w:val="left" w:pos="1620"/>
        </w:tabs>
        <w:spacing w:before="240" w:after="160"/>
        <w:ind w:hanging="900"/>
        <w:contextualSpacing/>
        <w:jc w:val="both"/>
        <w:outlineLvl w:val="2"/>
        <w:rPr>
          <w:rFonts w:eastAsia="Calibri" w:cs="Arial"/>
          <w:sz w:val="20"/>
          <w:szCs w:val="20"/>
        </w:rPr>
      </w:pPr>
    </w:p>
    <w:p w:rsidR="00F23B9F" w:rsidRDefault="00F23B9F" w:rsidP="00F23B9F">
      <w:pPr>
        <w:numPr>
          <w:ilvl w:val="2"/>
          <w:numId w:val="0"/>
        </w:numPr>
        <w:tabs>
          <w:tab w:val="left" w:pos="1620"/>
        </w:tabs>
        <w:spacing w:before="240" w:after="160"/>
        <w:ind w:left="900" w:hanging="900"/>
        <w:contextualSpacing/>
        <w:jc w:val="center"/>
        <w:outlineLvl w:val="2"/>
        <w:rPr>
          <w:rFonts w:eastAsia="Calibri" w:cs="Arial"/>
          <w:b/>
          <w:szCs w:val="22"/>
          <w:u w:val="single"/>
        </w:rPr>
      </w:pPr>
      <w:r w:rsidRPr="00F23B9F">
        <w:rPr>
          <w:rFonts w:eastAsia="Calibri" w:cs="Arial"/>
          <w:b/>
          <w:szCs w:val="22"/>
          <w:u w:val="single"/>
        </w:rPr>
        <w:t>Stepladder Safety</w:t>
      </w:r>
    </w:p>
    <w:p w:rsidR="00F23B9F" w:rsidRDefault="00F23B9F" w:rsidP="00F23B9F">
      <w:pPr>
        <w:numPr>
          <w:ilvl w:val="2"/>
          <w:numId w:val="0"/>
        </w:numPr>
        <w:tabs>
          <w:tab w:val="left" w:pos="1620"/>
        </w:tabs>
        <w:spacing w:before="240" w:after="160"/>
        <w:ind w:left="900" w:hanging="900"/>
        <w:contextualSpacing/>
        <w:jc w:val="center"/>
        <w:outlineLvl w:val="2"/>
        <w:rPr>
          <w:rFonts w:eastAsia="Calibri" w:cs="Arial"/>
          <w:b/>
          <w:szCs w:val="22"/>
          <w:u w:val="single"/>
        </w:rPr>
      </w:pPr>
    </w:p>
    <w:p w:rsidR="00F23B9F" w:rsidRPr="00F23B9F" w:rsidRDefault="00F23B9F" w:rsidP="00F23B9F">
      <w:pPr>
        <w:numPr>
          <w:ilvl w:val="2"/>
          <w:numId w:val="0"/>
        </w:numPr>
        <w:tabs>
          <w:tab w:val="left" w:pos="1620"/>
        </w:tabs>
        <w:spacing w:before="240" w:after="160"/>
        <w:ind w:left="900" w:hanging="900"/>
        <w:contextualSpacing/>
        <w:outlineLvl w:val="2"/>
        <w:rPr>
          <w:rFonts w:eastAsia="Calibri" w:cs="Arial"/>
          <w:sz w:val="20"/>
          <w:szCs w:val="20"/>
        </w:rPr>
      </w:pPr>
      <w:r>
        <w:rPr>
          <w:rFonts w:eastAsia="Calibri" w:cs="Arial"/>
          <w:sz w:val="20"/>
          <w:szCs w:val="20"/>
        </w:rPr>
        <w:tab/>
      </w:r>
      <w:r>
        <w:rPr>
          <w:rFonts w:eastAsia="Calibri" w:cs="Arial"/>
          <w:sz w:val="20"/>
          <w:szCs w:val="20"/>
        </w:rPr>
        <w:tab/>
      </w:r>
      <w:r w:rsidRPr="00F23B9F">
        <w:rPr>
          <w:rFonts w:eastAsia="Calibri" w:cs="Arial"/>
          <w:sz w:val="20"/>
          <w:szCs w:val="20"/>
        </w:rPr>
        <w:t>•The top two steps are not to be used for standing or sitting on.</w:t>
      </w:r>
    </w:p>
    <w:p w:rsidR="00F23B9F" w:rsidRDefault="00F23B9F" w:rsidP="00F23B9F">
      <w:pPr>
        <w:numPr>
          <w:ilvl w:val="2"/>
          <w:numId w:val="0"/>
        </w:numPr>
        <w:tabs>
          <w:tab w:val="left" w:pos="1620"/>
        </w:tabs>
        <w:spacing w:before="240" w:after="160"/>
        <w:ind w:left="900" w:hanging="900"/>
        <w:contextualSpacing/>
        <w:outlineLvl w:val="2"/>
        <w:rPr>
          <w:sz w:val="20"/>
          <w:szCs w:val="20"/>
        </w:rPr>
      </w:pPr>
      <w:r w:rsidRPr="00F23B9F">
        <w:rPr>
          <w:rFonts w:eastAsia="Calibri" w:cs="Arial"/>
          <w:sz w:val="20"/>
          <w:szCs w:val="20"/>
        </w:rPr>
        <w:tab/>
      </w:r>
      <w:r w:rsidRPr="00F23B9F">
        <w:rPr>
          <w:rFonts w:eastAsia="Calibri" w:cs="Arial"/>
          <w:sz w:val="20"/>
          <w:szCs w:val="20"/>
        </w:rPr>
        <w:tab/>
        <w:t>•</w:t>
      </w:r>
      <w:r w:rsidRPr="00F23B9F">
        <w:rPr>
          <w:sz w:val="20"/>
          <w:szCs w:val="20"/>
        </w:rPr>
        <w:t>The spreaders shall be fully extended and locked into place before use.</w:t>
      </w:r>
    </w:p>
    <w:p w:rsidR="00F23B9F" w:rsidRDefault="00F23B9F" w:rsidP="00F23B9F">
      <w:pPr>
        <w:numPr>
          <w:ilvl w:val="2"/>
          <w:numId w:val="0"/>
        </w:numPr>
        <w:tabs>
          <w:tab w:val="left" w:pos="1620"/>
        </w:tabs>
        <w:spacing w:before="240" w:after="160"/>
        <w:ind w:left="900" w:hanging="900"/>
        <w:contextualSpacing/>
        <w:outlineLvl w:val="2"/>
        <w:rPr>
          <w:sz w:val="20"/>
          <w:szCs w:val="20"/>
        </w:rPr>
      </w:pPr>
      <w:r>
        <w:rPr>
          <w:sz w:val="20"/>
          <w:szCs w:val="20"/>
        </w:rPr>
        <w:tab/>
      </w:r>
      <w:r>
        <w:rPr>
          <w:sz w:val="20"/>
          <w:szCs w:val="20"/>
        </w:rPr>
        <w:tab/>
        <w:t xml:space="preserve">•Never lean the stepladder </w:t>
      </w:r>
      <w:r w:rsidR="00F1735B">
        <w:rPr>
          <w:sz w:val="20"/>
          <w:szCs w:val="20"/>
        </w:rPr>
        <w:t>against a wall for use.</w:t>
      </w:r>
      <w:r w:rsidR="00E4255B">
        <w:rPr>
          <w:sz w:val="20"/>
          <w:szCs w:val="20"/>
        </w:rPr>
        <w:t xml:space="preserve"> Unless designed for this.</w:t>
      </w:r>
      <w:bookmarkStart w:id="1" w:name="_GoBack"/>
      <w:bookmarkEnd w:id="1"/>
    </w:p>
    <w:p w:rsidR="00F1735B" w:rsidRDefault="00F1735B" w:rsidP="00F1735B">
      <w:pPr>
        <w:numPr>
          <w:ilvl w:val="2"/>
          <w:numId w:val="0"/>
        </w:numPr>
        <w:tabs>
          <w:tab w:val="left" w:pos="1620"/>
        </w:tabs>
        <w:spacing w:before="240" w:after="160"/>
        <w:ind w:left="900" w:hanging="900"/>
        <w:contextualSpacing/>
        <w:jc w:val="center"/>
        <w:outlineLvl w:val="2"/>
        <w:rPr>
          <w:b/>
          <w:szCs w:val="22"/>
          <w:u w:val="single"/>
        </w:rPr>
      </w:pPr>
    </w:p>
    <w:p w:rsidR="00D7694E" w:rsidRDefault="00D7694E" w:rsidP="00F1735B">
      <w:pPr>
        <w:numPr>
          <w:ilvl w:val="2"/>
          <w:numId w:val="0"/>
        </w:numPr>
        <w:tabs>
          <w:tab w:val="left" w:pos="1620"/>
        </w:tabs>
        <w:spacing w:before="240" w:after="160"/>
        <w:ind w:left="900" w:hanging="900"/>
        <w:contextualSpacing/>
        <w:jc w:val="center"/>
        <w:outlineLvl w:val="2"/>
        <w:rPr>
          <w:b/>
          <w:szCs w:val="22"/>
          <w:u w:val="single"/>
        </w:rPr>
      </w:pPr>
    </w:p>
    <w:p w:rsidR="00F1735B" w:rsidRDefault="00F1735B" w:rsidP="00F1735B">
      <w:pPr>
        <w:numPr>
          <w:ilvl w:val="2"/>
          <w:numId w:val="0"/>
        </w:numPr>
        <w:tabs>
          <w:tab w:val="left" w:pos="1620"/>
        </w:tabs>
        <w:spacing w:before="240" w:after="160"/>
        <w:ind w:left="900" w:hanging="900"/>
        <w:contextualSpacing/>
        <w:jc w:val="center"/>
        <w:outlineLvl w:val="2"/>
        <w:rPr>
          <w:b/>
          <w:szCs w:val="22"/>
          <w:u w:val="single"/>
        </w:rPr>
      </w:pPr>
      <w:r>
        <w:rPr>
          <w:b/>
          <w:szCs w:val="22"/>
          <w:u w:val="single"/>
        </w:rPr>
        <w:lastRenderedPageBreak/>
        <w:t>Extension Ladder Safety</w:t>
      </w:r>
    </w:p>
    <w:p w:rsidR="00F1735B" w:rsidRDefault="00F1735B" w:rsidP="00F1735B">
      <w:pPr>
        <w:numPr>
          <w:ilvl w:val="2"/>
          <w:numId w:val="0"/>
        </w:numPr>
        <w:tabs>
          <w:tab w:val="left" w:pos="1620"/>
        </w:tabs>
        <w:spacing w:before="240" w:after="160"/>
        <w:ind w:left="900" w:hanging="900"/>
        <w:contextualSpacing/>
        <w:jc w:val="center"/>
        <w:outlineLvl w:val="2"/>
        <w:rPr>
          <w:b/>
          <w:szCs w:val="22"/>
          <w:u w:val="single"/>
        </w:rPr>
      </w:pPr>
    </w:p>
    <w:p w:rsidR="00F1735B" w:rsidRDefault="00F1735B" w:rsidP="00F1735B">
      <w:pPr>
        <w:numPr>
          <w:ilvl w:val="2"/>
          <w:numId w:val="0"/>
        </w:numPr>
        <w:tabs>
          <w:tab w:val="left" w:pos="1620"/>
        </w:tabs>
        <w:spacing w:before="240" w:after="160"/>
        <w:ind w:left="900" w:hanging="900"/>
        <w:contextualSpacing/>
        <w:outlineLvl w:val="2"/>
        <w:rPr>
          <w:sz w:val="20"/>
          <w:szCs w:val="20"/>
        </w:rPr>
      </w:pPr>
      <w:r>
        <w:rPr>
          <w:sz w:val="20"/>
          <w:szCs w:val="20"/>
        </w:rPr>
        <w:tab/>
      </w:r>
      <w:r>
        <w:rPr>
          <w:sz w:val="20"/>
          <w:szCs w:val="20"/>
        </w:rPr>
        <w:tab/>
        <w:t>•The ladder must be placed on a 4/1 angle.</w:t>
      </w:r>
    </w:p>
    <w:p w:rsidR="00F1735B" w:rsidRDefault="00F1735B" w:rsidP="00F1735B">
      <w:pPr>
        <w:numPr>
          <w:ilvl w:val="2"/>
          <w:numId w:val="0"/>
        </w:numPr>
        <w:tabs>
          <w:tab w:val="left" w:pos="1620"/>
        </w:tabs>
        <w:spacing w:before="240" w:after="160"/>
        <w:ind w:left="900" w:hanging="900"/>
        <w:contextualSpacing/>
        <w:outlineLvl w:val="2"/>
        <w:rPr>
          <w:sz w:val="20"/>
          <w:szCs w:val="20"/>
        </w:rPr>
      </w:pPr>
      <w:r>
        <w:rPr>
          <w:sz w:val="20"/>
          <w:szCs w:val="20"/>
        </w:rPr>
        <w:tab/>
      </w:r>
      <w:r>
        <w:rPr>
          <w:sz w:val="20"/>
          <w:szCs w:val="20"/>
        </w:rPr>
        <w:tab/>
        <w:t>•The ladder must be secured from movement.</w:t>
      </w:r>
    </w:p>
    <w:p w:rsidR="00F1735B" w:rsidRDefault="00F1735B" w:rsidP="00F1735B">
      <w:pPr>
        <w:numPr>
          <w:ilvl w:val="2"/>
          <w:numId w:val="0"/>
        </w:numPr>
        <w:tabs>
          <w:tab w:val="left" w:pos="1620"/>
        </w:tabs>
        <w:spacing w:before="240" w:after="160"/>
        <w:ind w:left="900" w:hanging="900"/>
        <w:contextualSpacing/>
        <w:outlineLvl w:val="2"/>
        <w:rPr>
          <w:sz w:val="20"/>
          <w:szCs w:val="20"/>
        </w:rPr>
      </w:pPr>
      <w:r>
        <w:rPr>
          <w:sz w:val="20"/>
          <w:szCs w:val="20"/>
        </w:rPr>
        <w:tab/>
      </w:r>
      <w:r>
        <w:rPr>
          <w:sz w:val="20"/>
          <w:szCs w:val="20"/>
        </w:rPr>
        <w:tab/>
        <w:t>•The ladder must extend 3' past the landing area.</w:t>
      </w:r>
    </w:p>
    <w:p w:rsidR="00F1735B" w:rsidRDefault="00F1735B" w:rsidP="00F1735B">
      <w:pPr>
        <w:numPr>
          <w:ilvl w:val="2"/>
          <w:numId w:val="0"/>
        </w:numPr>
        <w:tabs>
          <w:tab w:val="left" w:pos="1620"/>
        </w:tabs>
        <w:spacing w:before="240" w:after="160"/>
        <w:ind w:left="900" w:hanging="900"/>
        <w:contextualSpacing/>
        <w:outlineLvl w:val="2"/>
        <w:rPr>
          <w:sz w:val="20"/>
          <w:szCs w:val="20"/>
        </w:rPr>
      </w:pPr>
      <w:r>
        <w:rPr>
          <w:sz w:val="20"/>
          <w:szCs w:val="20"/>
        </w:rPr>
        <w:tab/>
      </w:r>
      <w:r>
        <w:rPr>
          <w:sz w:val="20"/>
          <w:szCs w:val="20"/>
        </w:rPr>
        <w:tab/>
        <w:t>•When used against a surface, the top 3 rungs are not to be used.</w:t>
      </w:r>
    </w:p>
    <w:p w:rsidR="00F1735B" w:rsidRDefault="00F1735B" w:rsidP="00F1735B">
      <w:pPr>
        <w:numPr>
          <w:ilvl w:val="2"/>
          <w:numId w:val="0"/>
        </w:numPr>
        <w:tabs>
          <w:tab w:val="left" w:pos="1620"/>
        </w:tabs>
        <w:spacing w:before="240" w:after="160"/>
        <w:ind w:left="900" w:hanging="900"/>
        <w:contextualSpacing/>
        <w:outlineLvl w:val="2"/>
        <w:rPr>
          <w:sz w:val="20"/>
          <w:szCs w:val="20"/>
        </w:rPr>
      </w:pPr>
    </w:p>
    <w:p w:rsidR="00F1735B" w:rsidRDefault="00F1735B" w:rsidP="00F1735B">
      <w:pPr>
        <w:numPr>
          <w:ilvl w:val="2"/>
          <w:numId w:val="0"/>
        </w:numPr>
        <w:tabs>
          <w:tab w:val="left" w:pos="1620"/>
        </w:tabs>
        <w:spacing w:before="240" w:after="160"/>
        <w:ind w:left="900" w:hanging="900"/>
        <w:contextualSpacing/>
        <w:jc w:val="center"/>
        <w:outlineLvl w:val="2"/>
        <w:rPr>
          <w:b/>
          <w:szCs w:val="22"/>
          <w:u w:val="single"/>
        </w:rPr>
      </w:pPr>
      <w:r>
        <w:rPr>
          <w:b/>
          <w:szCs w:val="22"/>
          <w:u w:val="single"/>
        </w:rPr>
        <w:t>Fixed Ladders</w:t>
      </w:r>
    </w:p>
    <w:p w:rsidR="00F1735B" w:rsidRDefault="00F1735B" w:rsidP="00F1735B">
      <w:pPr>
        <w:numPr>
          <w:ilvl w:val="2"/>
          <w:numId w:val="0"/>
        </w:numPr>
        <w:tabs>
          <w:tab w:val="left" w:pos="1620"/>
        </w:tabs>
        <w:spacing w:before="240" w:after="160"/>
        <w:ind w:left="900" w:hanging="900"/>
        <w:contextualSpacing/>
        <w:outlineLvl w:val="2"/>
        <w:rPr>
          <w:sz w:val="20"/>
          <w:szCs w:val="20"/>
        </w:rPr>
      </w:pPr>
    </w:p>
    <w:p w:rsidR="00111360" w:rsidRDefault="00111360" w:rsidP="00111360">
      <w:pPr>
        <w:numPr>
          <w:ilvl w:val="2"/>
          <w:numId w:val="0"/>
        </w:numPr>
        <w:tabs>
          <w:tab w:val="left" w:pos="1620"/>
        </w:tabs>
        <w:spacing w:before="240" w:after="160"/>
        <w:ind w:left="907" w:hanging="907"/>
        <w:contextualSpacing/>
        <w:jc w:val="both"/>
        <w:outlineLvl w:val="2"/>
        <w:rPr>
          <w:sz w:val="20"/>
          <w:szCs w:val="20"/>
        </w:rPr>
      </w:pPr>
      <w:r>
        <w:rPr>
          <w:sz w:val="20"/>
          <w:szCs w:val="20"/>
        </w:rPr>
        <w:t>These requirements primarily apply to our workers involved with maintenance or service work. They also</w:t>
      </w:r>
    </w:p>
    <w:p w:rsidR="00111360" w:rsidRDefault="00111360" w:rsidP="00111360">
      <w:pPr>
        <w:numPr>
          <w:ilvl w:val="2"/>
          <w:numId w:val="0"/>
        </w:numPr>
        <w:tabs>
          <w:tab w:val="left" w:pos="1620"/>
        </w:tabs>
        <w:spacing w:before="240" w:after="160"/>
        <w:ind w:left="907" w:hanging="907"/>
        <w:contextualSpacing/>
        <w:jc w:val="both"/>
        <w:outlineLvl w:val="2"/>
        <w:rPr>
          <w:sz w:val="20"/>
          <w:szCs w:val="20"/>
        </w:rPr>
      </w:pPr>
      <w:r>
        <w:rPr>
          <w:sz w:val="20"/>
          <w:szCs w:val="20"/>
        </w:rPr>
        <w:t>apply to anyone using fixed ladders 24' or taller. These regulations are taken from 1910 Subpart D Walking</w:t>
      </w:r>
    </w:p>
    <w:p w:rsidR="00F65D60" w:rsidRDefault="00111360" w:rsidP="00111360">
      <w:pPr>
        <w:numPr>
          <w:ilvl w:val="2"/>
          <w:numId w:val="0"/>
        </w:numPr>
        <w:tabs>
          <w:tab w:val="left" w:pos="1620"/>
        </w:tabs>
        <w:spacing w:before="240" w:after="160"/>
        <w:ind w:left="907" w:hanging="907"/>
        <w:contextualSpacing/>
        <w:jc w:val="both"/>
        <w:outlineLvl w:val="2"/>
        <w:rPr>
          <w:sz w:val="20"/>
          <w:szCs w:val="20"/>
        </w:rPr>
      </w:pPr>
      <w:r>
        <w:rPr>
          <w:sz w:val="20"/>
          <w:szCs w:val="20"/>
        </w:rPr>
        <w:t xml:space="preserve">Working Surfaces. </w:t>
      </w:r>
      <w:r w:rsidR="00F65D60">
        <w:rPr>
          <w:sz w:val="20"/>
          <w:szCs w:val="20"/>
        </w:rPr>
        <w:t>With the new standard in effect, all ladders 24' and over are required to have a fall arrest</w:t>
      </w:r>
    </w:p>
    <w:p w:rsidR="00FF353E" w:rsidRDefault="00F65D60" w:rsidP="00111360">
      <w:pPr>
        <w:numPr>
          <w:ilvl w:val="2"/>
          <w:numId w:val="0"/>
        </w:numPr>
        <w:tabs>
          <w:tab w:val="left" w:pos="1620"/>
        </w:tabs>
        <w:spacing w:before="240" w:after="160"/>
        <w:ind w:left="907" w:hanging="907"/>
        <w:contextualSpacing/>
        <w:jc w:val="both"/>
        <w:outlineLvl w:val="2"/>
        <w:rPr>
          <w:sz w:val="20"/>
          <w:szCs w:val="20"/>
        </w:rPr>
      </w:pPr>
      <w:r>
        <w:rPr>
          <w:sz w:val="20"/>
          <w:szCs w:val="20"/>
        </w:rPr>
        <w:t xml:space="preserve">system or a ladder safety system. </w:t>
      </w:r>
      <w:r w:rsidR="00FF353E">
        <w:rPr>
          <w:sz w:val="20"/>
          <w:szCs w:val="20"/>
        </w:rPr>
        <w:t xml:space="preserve">All PSG employees are required to use </w:t>
      </w:r>
      <w:proofErr w:type="gramStart"/>
      <w:r w:rsidR="00FF353E">
        <w:rPr>
          <w:sz w:val="20"/>
          <w:szCs w:val="20"/>
        </w:rPr>
        <w:t>the</w:t>
      </w:r>
      <w:r w:rsidR="00AF2E73">
        <w:rPr>
          <w:sz w:val="20"/>
          <w:szCs w:val="20"/>
        </w:rPr>
        <w:t xml:space="preserve"> </w:t>
      </w:r>
      <w:r w:rsidR="00FF353E">
        <w:rPr>
          <w:sz w:val="20"/>
          <w:szCs w:val="20"/>
        </w:rPr>
        <w:t xml:space="preserve"> system</w:t>
      </w:r>
      <w:proofErr w:type="gramEnd"/>
      <w:r w:rsidR="00AF2E73">
        <w:rPr>
          <w:sz w:val="20"/>
          <w:szCs w:val="20"/>
        </w:rPr>
        <w:t xml:space="preserve"> </w:t>
      </w:r>
      <w:r w:rsidR="00FF353E">
        <w:rPr>
          <w:sz w:val="20"/>
          <w:szCs w:val="20"/>
        </w:rPr>
        <w:t xml:space="preserve"> in </w:t>
      </w:r>
      <w:r w:rsidR="00AF2E73">
        <w:rPr>
          <w:sz w:val="20"/>
          <w:szCs w:val="20"/>
        </w:rPr>
        <w:t xml:space="preserve"> </w:t>
      </w:r>
      <w:r w:rsidR="00FF353E">
        <w:rPr>
          <w:sz w:val="20"/>
          <w:szCs w:val="20"/>
        </w:rPr>
        <w:t xml:space="preserve">place. </w:t>
      </w:r>
      <w:r w:rsidR="00AF2E73">
        <w:rPr>
          <w:sz w:val="20"/>
          <w:szCs w:val="20"/>
        </w:rPr>
        <w:t xml:space="preserve"> </w:t>
      </w:r>
      <w:proofErr w:type="gramStart"/>
      <w:r w:rsidR="00FF353E">
        <w:rPr>
          <w:sz w:val="20"/>
          <w:szCs w:val="20"/>
        </w:rPr>
        <w:t xml:space="preserve">The </w:t>
      </w:r>
      <w:r w:rsidR="00AF2E73">
        <w:rPr>
          <w:sz w:val="20"/>
          <w:szCs w:val="20"/>
        </w:rPr>
        <w:t xml:space="preserve"> </w:t>
      </w:r>
      <w:r w:rsidR="00FF353E">
        <w:rPr>
          <w:sz w:val="20"/>
          <w:szCs w:val="20"/>
        </w:rPr>
        <w:t>tables</w:t>
      </w:r>
      <w:proofErr w:type="gramEnd"/>
    </w:p>
    <w:p w:rsidR="00F1735B" w:rsidRDefault="00F65D60" w:rsidP="00111360">
      <w:pPr>
        <w:numPr>
          <w:ilvl w:val="2"/>
          <w:numId w:val="0"/>
        </w:numPr>
        <w:tabs>
          <w:tab w:val="left" w:pos="1620"/>
        </w:tabs>
        <w:spacing w:before="240" w:after="160"/>
        <w:ind w:left="907" w:hanging="907"/>
        <w:contextualSpacing/>
        <w:jc w:val="both"/>
        <w:outlineLvl w:val="2"/>
        <w:rPr>
          <w:sz w:val="20"/>
          <w:szCs w:val="20"/>
        </w:rPr>
      </w:pPr>
      <w:r>
        <w:rPr>
          <w:sz w:val="20"/>
          <w:szCs w:val="20"/>
        </w:rPr>
        <w:t>below show the compliance dates to allow all to make their</w:t>
      </w:r>
      <w:r w:rsidR="00FF353E">
        <w:rPr>
          <w:sz w:val="20"/>
          <w:szCs w:val="20"/>
        </w:rPr>
        <w:t xml:space="preserve"> </w:t>
      </w:r>
      <w:r>
        <w:rPr>
          <w:sz w:val="20"/>
          <w:szCs w:val="20"/>
        </w:rPr>
        <w:t>facilities compliant.</w:t>
      </w:r>
    </w:p>
    <w:p w:rsidR="00F65D60" w:rsidRDefault="00F65D60" w:rsidP="00111360">
      <w:pPr>
        <w:numPr>
          <w:ilvl w:val="2"/>
          <w:numId w:val="0"/>
        </w:numPr>
        <w:tabs>
          <w:tab w:val="left" w:pos="1620"/>
        </w:tabs>
        <w:spacing w:before="240" w:after="160"/>
        <w:ind w:left="907" w:hanging="907"/>
        <w:contextualSpacing/>
        <w:jc w:val="both"/>
        <w:outlineLvl w:val="2"/>
        <w:rPr>
          <w:sz w:val="20"/>
          <w:szCs w:val="20"/>
        </w:rPr>
      </w:pPr>
    </w:p>
    <w:p w:rsidR="00F65D60" w:rsidRPr="00F65D60" w:rsidRDefault="00F65D60" w:rsidP="00F65D60">
      <w:pPr>
        <w:shd w:val="clear" w:color="auto" w:fill="FFFFFF"/>
        <w:spacing w:after="165"/>
        <w:rPr>
          <w:rFonts w:ascii="Open Sans" w:hAnsi="Open Sans" w:cs="Arial"/>
          <w:color w:val="292A26"/>
          <w:sz w:val="24"/>
          <w:lang w:val="en"/>
        </w:rPr>
      </w:pPr>
    </w:p>
    <w:tbl>
      <w:tblPr>
        <w:tblW w:w="5248" w:type="pct"/>
        <w:tblBorders>
          <w:top w:val="single" w:sz="6" w:space="0" w:color="D0D1CC"/>
          <w:left w:val="single" w:sz="6" w:space="0" w:color="D0D1CC"/>
          <w:bottom w:val="single" w:sz="6" w:space="0" w:color="D0D1CC"/>
          <w:right w:val="single" w:sz="6" w:space="0" w:color="D0D1CC"/>
        </w:tblBorders>
        <w:tblCellMar>
          <w:top w:w="15" w:type="dxa"/>
          <w:left w:w="15" w:type="dxa"/>
          <w:bottom w:w="15" w:type="dxa"/>
          <w:right w:w="15" w:type="dxa"/>
        </w:tblCellMar>
        <w:tblLook w:val="04A0" w:firstRow="1" w:lastRow="0" w:firstColumn="1" w:lastColumn="0" w:noHBand="0" w:noVBand="1"/>
      </w:tblPr>
      <w:tblGrid>
        <w:gridCol w:w="7732"/>
        <w:gridCol w:w="2075"/>
      </w:tblGrid>
      <w:tr w:rsidR="00F65D60" w:rsidRPr="00F65D60" w:rsidTr="00D7694E">
        <w:trPr>
          <w:trHeight w:val="561"/>
          <w:tblHeader/>
        </w:trPr>
        <w:tc>
          <w:tcPr>
            <w:tcW w:w="7732" w:type="dxa"/>
            <w:tcBorders>
              <w:top w:val="single" w:sz="6" w:space="0" w:color="D0D1CC"/>
              <w:left w:val="single" w:sz="6" w:space="0" w:color="D0D1CC"/>
              <w:bottom w:val="single" w:sz="6" w:space="0" w:color="D0D1CC"/>
              <w:right w:val="single" w:sz="6" w:space="0" w:color="D0D1CC"/>
            </w:tcBorders>
            <w:shd w:val="clear" w:color="auto" w:fill="F5F5F5"/>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b/>
                <w:bCs/>
                <w:color w:val="292A26"/>
                <w:sz w:val="21"/>
                <w:szCs w:val="21"/>
              </w:rPr>
            </w:pPr>
            <w:r w:rsidRPr="00F65D60">
              <w:rPr>
                <w:rFonts w:ascii="Open Sans" w:hAnsi="Open Sans" w:cs="Arial"/>
                <w:b/>
                <w:bCs/>
                <w:color w:val="292A26"/>
                <w:sz w:val="21"/>
                <w:szCs w:val="21"/>
              </w:rPr>
              <w:t>Subpart D Section</w:t>
            </w:r>
          </w:p>
        </w:tc>
        <w:tc>
          <w:tcPr>
            <w:tcW w:w="2075" w:type="dxa"/>
            <w:tcBorders>
              <w:top w:val="single" w:sz="6" w:space="0" w:color="D0D1CC"/>
              <w:left w:val="single" w:sz="6" w:space="0" w:color="D0D1CC"/>
              <w:bottom w:val="single" w:sz="6" w:space="0" w:color="D0D1CC"/>
              <w:right w:val="single" w:sz="6" w:space="0" w:color="D0D1CC"/>
            </w:tcBorders>
            <w:shd w:val="clear" w:color="auto" w:fill="FFFFFF"/>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b/>
                <w:bCs/>
                <w:color w:val="292A26"/>
                <w:sz w:val="21"/>
                <w:szCs w:val="21"/>
              </w:rPr>
            </w:pPr>
            <w:r w:rsidRPr="00F65D60">
              <w:rPr>
                <w:rFonts w:ascii="Open Sans" w:hAnsi="Open Sans" w:cs="Arial"/>
                <w:b/>
                <w:bCs/>
                <w:color w:val="292A26"/>
                <w:sz w:val="21"/>
                <w:szCs w:val="21"/>
              </w:rPr>
              <w:t>Compliance Date</w:t>
            </w:r>
          </w:p>
        </w:tc>
      </w:tr>
      <w:tr w:rsidR="00F65D60" w:rsidRPr="00F65D60" w:rsidTr="00D7694E">
        <w:trPr>
          <w:trHeight w:val="800"/>
        </w:trPr>
        <w:tc>
          <w:tcPr>
            <w:tcW w:w="7732"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§1910.30(a) and (b) – Deadline by which employers must train employees on fall and equipment hazards</w:t>
            </w:r>
          </w:p>
        </w:tc>
        <w:tc>
          <w:tcPr>
            <w:tcW w:w="2075"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May 17, 2017</w:t>
            </w:r>
          </w:p>
        </w:tc>
      </w:tr>
      <w:tr w:rsidR="00F65D60" w:rsidRPr="00F65D60" w:rsidTr="00D7694E">
        <w:trPr>
          <w:trHeight w:val="561"/>
        </w:trPr>
        <w:tc>
          <w:tcPr>
            <w:tcW w:w="7732"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§1910.27(b)(1) – Certification of anchorages</w:t>
            </w:r>
          </w:p>
        </w:tc>
        <w:tc>
          <w:tcPr>
            <w:tcW w:w="2075"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November 20, 2017</w:t>
            </w:r>
          </w:p>
        </w:tc>
      </w:tr>
      <w:tr w:rsidR="00F65D60" w:rsidRPr="00F65D60" w:rsidTr="00D7694E">
        <w:trPr>
          <w:trHeight w:val="800"/>
        </w:trPr>
        <w:tc>
          <w:tcPr>
            <w:tcW w:w="7732"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§1910.28(b)(9)(</w:t>
            </w:r>
            <w:proofErr w:type="spellStart"/>
            <w:r w:rsidRPr="00F65D60">
              <w:rPr>
                <w:rFonts w:ascii="Open Sans" w:hAnsi="Open Sans" w:cs="Arial"/>
                <w:color w:val="292A26"/>
                <w:sz w:val="21"/>
                <w:szCs w:val="21"/>
              </w:rPr>
              <w:t>i</w:t>
            </w:r>
            <w:proofErr w:type="spellEnd"/>
            <w:r w:rsidRPr="00F65D60">
              <w:rPr>
                <w:rFonts w:ascii="Open Sans" w:hAnsi="Open Sans" w:cs="Arial"/>
                <w:color w:val="292A26"/>
                <w:sz w:val="21"/>
                <w:szCs w:val="21"/>
              </w:rPr>
              <w:t>)(A) – Deadline by which employers must equip existing fixed ladders with a cage, well, ladder safety system, or personal fall arrest system</w:t>
            </w:r>
          </w:p>
        </w:tc>
        <w:tc>
          <w:tcPr>
            <w:tcW w:w="2075"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November 19, 2018</w:t>
            </w:r>
          </w:p>
        </w:tc>
      </w:tr>
      <w:tr w:rsidR="00F65D60" w:rsidRPr="00F65D60" w:rsidTr="00D7694E">
        <w:trPr>
          <w:trHeight w:val="800"/>
        </w:trPr>
        <w:tc>
          <w:tcPr>
            <w:tcW w:w="7732"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§1910.28(b)(9)(</w:t>
            </w:r>
            <w:proofErr w:type="spellStart"/>
            <w:r w:rsidRPr="00F65D60">
              <w:rPr>
                <w:rFonts w:ascii="Open Sans" w:hAnsi="Open Sans" w:cs="Arial"/>
                <w:color w:val="292A26"/>
                <w:sz w:val="21"/>
                <w:szCs w:val="21"/>
              </w:rPr>
              <w:t>i</w:t>
            </w:r>
            <w:proofErr w:type="spellEnd"/>
            <w:r w:rsidRPr="00F65D60">
              <w:rPr>
                <w:rFonts w:ascii="Open Sans" w:hAnsi="Open Sans" w:cs="Arial"/>
                <w:color w:val="292A26"/>
                <w:sz w:val="21"/>
                <w:szCs w:val="21"/>
              </w:rPr>
              <w:t>)(B) – Deadline by which employers must begin equipping new fixed ladders with a ladder safety system or personal fall arrest system</w:t>
            </w:r>
          </w:p>
        </w:tc>
        <w:tc>
          <w:tcPr>
            <w:tcW w:w="2075"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November 19, 2018</w:t>
            </w:r>
          </w:p>
        </w:tc>
      </w:tr>
      <w:tr w:rsidR="00F65D60" w:rsidRPr="00F65D60" w:rsidTr="00D7694E">
        <w:trPr>
          <w:trHeight w:val="800"/>
        </w:trPr>
        <w:tc>
          <w:tcPr>
            <w:tcW w:w="7732"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§1910.28(b)(9)(</w:t>
            </w:r>
            <w:proofErr w:type="spellStart"/>
            <w:r w:rsidRPr="00F65D60">
              <w:rPr>
                <w:rFonts w:ascii="Open Sans" w:hAnsi="Open Sans" w:cs="Arial"/>
                <w:color w:val="292A26"/>
                <w:sz w:val="21"/>
                <w:szCs w:val="21"/>
              </w:rPr>
              <w:t>i</w:t>
            </w:r>
            <w:proofErr w:type="spellEnd"/>
            <w:r w:rsidRPr="00F65D60">
              <w:rPr>
                <w:rFonts w:ascii="Open Sans" w:hAnsi="Open Sans" w:cs="Arial"/>
                <w:color w:val="292A26"/>
                <w:sz w:val="21"/>
                <w:szCs w:val="21"/>
              </w:rPr>
              <w:t>)(D) – Deadline by which all fixed ladders must be equipped with a ladder safety system or personal fall arrest system</w:t>
            </w:r>
          </w:p>
        </w:tc>
        <w:tc>
          <w:tcPr>
            <w:tcW w:w="2075" w:type="dxa"/>
            <w:tcBorders>
              <w:top w:val="single" w:sz="6" w:space="0" w:color="D0D1CC"/>
              <w:left w:val="single" w:sz="6" w:space="0" w:color="D0D1CC"/>
              <w:bottom w:val="single" w:sz="6" w:space="0" w:color="D0D1CC"/>
              <w:right w:val="single" w:sz="6" w:space="0" w:color="D0D1CC"/>
            </w:tcBorders>
            <w:shd w:val="clear" w:color="auto" w:fill="auto"/>
            <w:tcMar>
              <w:top w:w="150" w:type="dxa"/>
              <w:left w:w="150" w:type="dxa"/>
              <w:bottom w:w="150" w:type="dxa"/>
              <w:right w:w="150" w:type="dxa"/>
            </w:tcMar>
            <w:vAlign w:val="center"/>
            <w:hideMark/>
          </w:tcPr>
          <w:p w:rsidR="00F65D60" w:rsidRPr="00F65D60" w:rsidRDefault="00F65D60" w:rsidP="00F65D60">
            <w:pPr>
              <w:spacing w:after="330"/>
              <w:rPr>
                <w:rFonts w:ascii="Open Sans" w:hAnsi="Open Sans" w:cs="Arial"/>
                <w:color w:val="292A26"/>
                <w:sz w:val="21"/>
                <w:szCs w:val="21"/>
              </w:rPr>
            </w:pPr>
            <w:r w:rsidRPr="00F65D60">
              <w:rPr>
                <w:rFonts w:ascii="Open Sans" w:hAnsi="Open Sans" w:cs="Arial"/>
                <w:color w:val="292A26"/>
                <w:sz w:val="21"/>
                <w:szCs w:val="21"/>
              </w:rPr>
              <w:t>November 18, 2036</w:t>
            </w:r>
          </w:p>
        </w:tc>
      </w:tr>
    </w:tbl>
    <w:p w:rsidR="00F65D60" w:rsidRPr="00F1735B" w:rsidRDefault="00F65D60" w:rsidP="00111360">
      <w:pPr>
        <w:numPr>
          <w:ilvl w:val="2"/>
          <w:numId w:val="0"/>
        </w:numPr>
        <w:tabs>
          <w:tab w:val="left" w:pos="1620"/>
        </w:tabs>
        <w:spacing w:before="240" w:after="160"/>
        <w:ind w:left="907" w:hanging="907"/>
        <w:contextualSpacing/>
        <w:jc w:val="both"/>
        <w:outlineLvl w:val="2"/>
        <w:rPr>
          <w:sz w:val="20"/>
          <w:szCs w:val="20"/>
        </w:rPr>
      </w:pPr>
    </w:p>
    <w:p w:rsidR="00F1735B" w:rsidRPr="005D5B9F" w:rsidRDefault="00F1735B" w:rsidP="00F1735B">
      <w:pPr>
        <w:numPr>
          <w:ilvl w:val="2"/>
          <w:numId w:val="0"/>
        </w:numPr>
        <w:tabs>
          <w:tab w:val="left" w:pos="1620"/>
        </w:tabs>
        <w:spacing w:before="240" w:after="160"/>
        <w:ind w:left="900" w:hanging="900"/>
        <w:contextualSpacing/>
        <w:outlineLvl w:val="2"/>
        <w:rPr>
          <w:rFonts w:eastAsia="Calibri" w:cs="Arial"/>
          <w:sz w:val="20"/>
          <w:szCs w:val="20"/>
        </w:rPr>
      </w:pPr>
      <w:r>
        <w:rPr>
          <w:sz w:val="20"/>
          <w:szCs w:val="20"/>
        </w:rPr>
        <w:tab/>
      </w:r>
      <w:r>
        <w:rPr>
          <w:sz w:val="20"/>
          <w:szCs w:val="20"/>
        </w:rPr>
        <w:tab/>
      </w:r>
    </w:p>
    <w:p w:rsidR="005D5B9F" w:rsidRDefault="005D5B9F" w:rsidP="00F65D60">
      <w:pPr>
        <w:jc w:val="center"/>
        <w:rPr>
          <w:b/>
          <w:sz w:val="20"/>
          <w:szCs w:val="20"/>
        </w:rPr>
      </w:pPr>
    </w:p>
    <w:p w:rsidR="00FF353E" w:rsidRDefault="00FF353E" w:rsidP="00F65D60">
      <w:pPr>
        <w:jc w:val="center"/>
        <w:rPr>
          <w:b/>
          <w:sz w:val="20"/>
          <w:szCs w:val="20"/>
        </w:rPr>
      </w:pPr>
    </w:p>
    <w:p w:rsidR="00FF353E" w:rsidRDefault="00FF353E" w:rsidP="00F65D60">
      <w:pPr>
        <w:jc w:val="center"/>
        <w:rPr>
          <w:b/>
          <w:sz w:val="20"/>
          <w:szCs w:val="20"/>
        </w:rPr>
      </w:pPr>
    </w:p>
    <w:p w:rsidR="00D7694E" w:rsidRDefault="00D7694E" w:rsidP="009D7F43">
      <w:pPr>
        <w:jc w:val="center"/>
        <w:rPr>
          <w:b/>
          <w:szCs w:val="22"/>
          <w:u w:val="single"/>
        </w:rPr>
      </w:pPr>
    </w:p>
    <w:p w:rsidR="00D7694E" w:rsidRDefault="00D7694E" w:rsidP="009D7F43">
      <w:pPr>
        <w:jc w:val="center"/>
        <w:rPr>
          <w:b/>
          <w:szCs w:val="22"/>
          <w:u w:val="single"/>
        </w:rPr>
      </w:pPr>
    </w:p>
    <w:p w:rsidR="00FF353E" w:rsidRDefault="00FF353E" w:rsidP="009D7F43">
      <w:pPr>
        <w:jc w:val="center"/>
        <w:rPr>
          <w:b/>
          <w:szCs w:val="22"/>
          <w:u w:val="single"/>
        </w:rPr>
      </w:pPr>
      <w:r w:rsidRPr="00FF353E">
        <w:rPr>
          <w:b/>
          <w:szCs w:val="22"/>
          <w:u w:val="single"/>
        </w:rPr>
        <w:lastRenderedPageBreak/>
        <w:t>Stairway Safety</w:t>
      </w:r>
    </w:p>
    <w:p w:rsidR="009D7F43" w:rsidRDefault="009D7F43" w:rsidP="009D7F43">
      <w:pPr>
        <w:jc w:val="center"/>
        <w:rPr>
          <w:b/>
          <w:szCs w:val="22"/>
          <w:u w:val="single"/>
        </w:rPr>
      </w:pPr>
    </w:p>
    <w:p w:rsidR="009D7F43" w:rsidRDefault="009D7F43" w:rsidP="009B3C4B">
      <w:pPr>
        <w:jc w:val="both"/>
        <w:rPr>
          <w:sz w:val="20"/>
          <w:szCs w:val="20"/>
        </w:rPr>
      </w:pPr>
      <w:r>
        <w:rPr>
          <w:sz w:val="20"/>
          <w:szCs w:val="20"/>
        </w:rPr>
        <w:t>Slips, trips and falls continue to injure our workforce. We often take stairs for granted. We need to keep our focus when using them and keeping at least one hand free to use the handrail. The standards</w:t>
      </w:r>
      <w:r w:rsidR="009B3C4B">
        <w:rPr>
          <w:sz w:val="20"/>
          <w:szCs w:val="20"/>
        </w:rPr>
        <w:t xml:space="preserve"> </w:t>
      </w:r>
      <w:r>
        <w:rPr>
          <w:sz w:val="20"/>
          <w:szCs w:val="20"/>
        </w:rPr>
        <w:t>referenced are 1910 Subpart D. Other references will be noted.</w:t>
      </w:r>
      <w:r w:rsidR="009B3C4B">
        <w:rPr>
          <w:sz w:val="20"/>
          <w:szCs w:val="20"/>
        </w:rPr>
        <w:t xml:space="preserve"> </w:t>
      </w:r>
      <w:r>
        <w:rPr>
          <w:sz w:val="20"/>
          <w:szCs w:val="20"/>
        </w:rPr>
        <w:t xml:space="preserve">We need to keep the </w:t>
      </w:r>
      <w:r w:rsidR="009B3C4B">
        <w:rPr>
          <w:sz w:val="20"/>
          <w:szCs w:val="20"/>
        </w:rPr>
        <w:t>following requirements in mind:</w:t>
      </w:r>
    </w:p>
    <w:p w:rsidR="009B3C4B" w:rsidRPr="009B3C4B" w:rsidRDefault="009B3C4B" w:rsidP="009B3C4B">
      <w:pPr>
        <w:jc w:val="both"/>
        <w:rPr>
          <w:sz w:val="20"/>
          <w:szCs w:val="20"/>
        </w:rPr>
      </w:pPr>
    </w:p>
    <w:p w:rsidR="009B3C4B" w:rsidRDefault="009B3C4B" w:rsidP="009B3C4B">
      <w:pPr>
        <w:pStyle w:val="NoSpacing"/>
        <w:rPr>
          <w:rFonts w:eastAsiaTheme="minorEastAsia" w:cstheme="minorBidi"/>
          <w:bCs/>
          <w:kern w:val="24"/>
          <w:sz w:val="20"/>
          <w:szCs w:val="20"/>
        </w:rPr>
      </w:pPr>
      <w:r w:rsidRPr="009B3C4B">
        <w:tab/>
        <w:t>•</w:t>
      </w:r>
      <w:r w:rsidRPr="009B3C4B">
        <w:rPr>
          <w:rFonts w:eastAsiaTheme="minorEastAsia"/>
        </w:rPr>
        <w:t xml:space="preserve">There must be a stairway or ladder at points of access where there is an elevation break </w:t>
      </w:r>
      <w:r>
        <w:rPr>
          <w:rFonts w:eastAsiaTheme="minorEastAsia"/>
        </w:rPr>
        <w:tab/>
      </w:r>
      <w:r w:rsidRPr="009B3C4B">
        <w:rPr>
          <w:rFonts w:eastAsiaTheme="minorEastAsia"/>
        </w:rPr>
        <w:t>of 19 inches or more.</w:t>
      </w:r>
      <w:r>
        <w:rPr>
          <w:rFonts w:eastAsiaTheme="minorEastAsia"/>
        </w:rPr>
        <w:t xml:space="preserve"> </w:t>
      </w:r>
      <w:r w:rsidRPr="009B3C4B">
        <w:rPr>
          <w:rFonts w:eastAsiaTheme="minorEastAsia" w:cstheme="minorBidi"/>
          <w:bCs/>
          <w:kern w:val="24"/>
          <w:sz w:val="20"/>
          <w:szCs w:val="20"/>
        </w:rPr>
        <w:t>1926.1051(a)</w:t>
      </w:r>
    </w:p>
    <w:p w:rsidR="00301A90" w:rsidRDefault="00301A90" w:rsidP="009B3C4B">
      <w:pPr>
        <w:pStyle w:val="NoSpacing"/>
        <w:rPr>
          <w:rFonts w:eastAsiaTheme="minorEastAsia" w:cstheme="minorBidi"/>
          <w:bCs/>
          <w:kern w:val="24"/>
          <w:sz w:val="20"/>
          <w:szCs w:val="20"/>
        </w:rPr>
      </w:pPr>
    </w:p>
    <w:p w:rsidR="00301A90" w:rsidRDefault="00301A90" w:rsidP="009B3C4B">
      <w:pPr>
        <w:pStyle w:val="NoSpacing"/>
        <w:rPr>
          <w:rFonts w:eastAsiaTheme="minorEastAsia" w:cstheme="minorBidi"/>
          <w:bCs/>
          <w:kern w:val="24"/>
          <w:sz w:val="20"/>
          <w:szCs w:val="20"/>
        </w:rPr>
      </w:pPr>
      <w:r>
        <w:rPr>
          <w:rFonts w:eastAsiaTheme="minorEastAsia" w:cstheme="minorBidi"/>
          <w:bCs/>
          <w:kern w:val="24"/>
          <w:sz w:val="20"/>
          <w:szCs w:val="20"/>
        </w:rPr>
        <w:tab/>
        <w:t>•Clean up any spills or materials on stairways.</w:t>
      </w:r>
    </w:p>
    <w:p w:rsidR="009B3C4B" w:rsidRDefault="009B3C4B" w:rsidP="009B3C4B">
      <w:pPr>
        <w:pStyle w:val="NoSpacing"/>
        <w:rPr>
          <w:rFonts w:eastAsiaTheme="minorEastAsia" w:cstheme="minorBidi"/>
          <w:bCs/>
          <w:kern w:val="24"/>
          <w:sz w:val="20"/>
          <w:szCs w:val="20"/>
        </w:rPr>
      </w:pPr>
    </w:p>
    <w:p w:rsidR="009B3C4B" w:rsidRDefault="009B3C4B" w:rsidP="009B3C4B">
      <w:pPr>
        <w:pStyle w:val="NoSpacing"/>
        <w:rPr>
          <w:rFonts w:eastAsiaTheme="minorEastAsia" w:cstheme="minorBidi"/>
          <w:bCs/>
          <w:kern w:val="24"/>
          <w:sz w:val="20"/>
          <w:szCs w:val="20"/>
        </w:rPr>
      </w:pPr>
      <w:r>
        <w:rPr>
          <w:rFonts w:eastAsiaTheme="minorEastAsia" w:cstheme="minorBidi"/>
          <w:bCs/>
          <w:kern w:val="24"/>
          <w:sz w:val="20"/>
          <w:szCs w:val="20"/>
        </w:rPr>
        <w:tab/>
        <w:t>•The handrail must be able to withstand a force of #200.</w:t>
      </w:r>
    </w:p>
    <w:p w:rsidR="009B3C4B" w:rsidRDefault="009B3C4B" w:rsidP="009B3C4B">
      <w:pPr>
        <w:pStyle w:val="NoSpacing"/>
        <w:rPr>
          <w:rFonts w:eastAsiaTheme="minorEastAsia" w:cstheme="minorBidi"/>
          <w:bCs/>
          <w:kern w:val="24"/>
          <w:sz w:val="20"/>
          <w:szCs w:val="20"/>
        </w:rPr>
      </w:pPr>
    </w:p>
    <w:p w:rsidR="00C86272" w:rsidRDefault="009B3C4B" w:rsidP="009B3C4B">
      <w:pPr>
        <w:pStyle w:val="NoSpacing"/>
        <w:rPr>
          <w:rFonts w:eastAsiaTheme="minorEastAsia" w:cstheme="minorBidi"/>
          <w:bCs/>
          <w:kern w:val="24"/>
          <w:sz w:val="20"/>
          <w:szCs w:val="20"/>
        </w:rPr>
      </w:pPr>
      <w:r>
        <w:rPr>
          <w:rFonts w:eastAsiaTheme="minorEastAsia" w:cstheme="minorBidi"/>
          <w:bCs/>
          <w:kern w:val="24"/>
          <w:sz w:val="20"/>
          <w:szCs w:val="20"/>
        </w:rPr>
        <w:tab/>
        <w:t>•</w:t>
      </w:r>
      <w:r w:rsidR="00C86272">
        <w:rPr>
          <w:rFonts w:eastAsiaTheme="minorEastAsia" w:cstheme="minorBidi"/>
          <w:bCs/>
          <w:kern w:val="24"/>
          <w:sz w:val="20"/>
          <w:szCs w:val="20"/>
        </w:rPr>
        <w:t>Stairways with 4 or more risers, or higher than 30", must have at least one handrail.</w:t>
      </w:r>
    </w:p>
    <w:p w:rsidR="00C86272" w:rsidRDefault="00C86272" w:rsidP="009B3C4B">
      <w:pPr>
        <w:pStyle w:val="NoSpacing"/>
        <w:rPr>
          <w:rFonts w:eastAsiaTheme="minorEastAsia" w:cstheme="minorBidi"/>
          <w:bCs/>
          <w:kern w:val="24"/>
          <w:sz w:val="20"/>
          <w:szCs w:val="20"/>
        </w:rPr>
      </w:pPr>
    </w:p>
    <w:p w:rsidR="00C86272" w:rsidRDefault="00C86272" w:rsidP="009B3C4B">
      <w:pPr>
        <w:pStyle w:val="NoSpacing"/>
        <w:rPr>
          <w:rFonts w:eastAsiaTheme="minorEastAsia" w:cstheme="minorBidi"/>
          <w:bCs/>
          <w:kern w:val="24"/>
          <w:sz w:val="20"/>
          <w:szCs w:val="20"/>
        </w:rPr>
      </w:pPr>
      <w:r>
        <w:rPr>
          <w:rFonts w:eastAsiaTheme="minorEastAsia" w:cstheme="minorBidi"/>
          <w:bCs/>
          <w:kern w:val="24"/>
          <w:sz w:val="20"/>
          <w:szCs w:val="20"/>
        </w:rPr>
        <w:tab/>
        <w:t xml:space="preserve">•Job made steps cannot have a riser height that varies more than 1/4". </w:t>
      </w:r>
    </w:p>
    <w:p w:rsidR="00C86272" w:rsidRDefault="00C86272" w:rsidP="009B3C4B">
      <w:pPr>
        <w:pStyle w:val="NoSpacing"/>
        <w:rPr>
          <w:rFonts w:eastAsiaTheme="minorEastAsia" w:cstheme="minorBidi"/>
          <w:bCs/>
          <w:kern w:val="24"/>
          <w:sz w:val="20"/>
          <w:szCs w:val="20"/>
        </w:rPr>
      </w:pPr>
    </w:p>
    <w:p w:rsidR="009B3C4B" w:rsidRDefault="009B3C4B" w:rsidP="009B3C4B">
      <w:pPr>
        <w:pStyle w:val="NoSpacing"/>
        <w:rPr>
          <w:rFonts w:eastAsiaTheme="minorEastAsia" w:cstheme="minorBidi"/>
          <w:bCs/>
          <w:kern w:val="24"/>
          <w:sz w:val="20"/>
          <w:szCs w:val="20"/>
        </w:rPr>
      </w:pPr>
      <w:r>
        <w:rPr>
          <w:rFonts w:eastAsiaTheme="minorEastAsia" w:cstheme="minorBidi"/>
          <w:bCs/>
          <w:kern w:val="24"/>
          <w:sz w:val="20"/>
          <w:szCs w:val="20"/>
        </w:rPr>
        <w:t xml:space="preserve"> </w:t>
      </w:r>
      <w:r w:rsidR="00301A90">
        <w:rPr>
          <w:rFonts w:eastAsiaTheme="minorEastAsia" w:cstheme="minorBidi"/>
          <w:bCs/>
          <w:kern w:val="24"/>
          <w:sz w:val="20"/>
          <w:szCs w:val="20"/>
        </w:rPr>
        <w:tab/>
        <w:t>•Do not use metal pan stairs without fillers or in their finished condition.</w:t>
      </w:r>
    </w:p>
    <w:p w:rsidR="00301A90" w:rsidRDefault="00301A90" w:rsidP="009B3C4B">
      <w:pPr>
        <w:pStyle w:val="NoSpacing"/>
        <w:rPr>
          <w:rFonts w:eastAsiaTheme="minorEastAsia" w:cstheme="minorBidi"/>
          <w:bCs/>
          <w:kern w:val="24"/>
          <w:sz w:val="20"/>
          <w:szCs w:val="20"/>
        </w:rPr>
      </w:pPr>
    </w:p>
    <w:p w:rsidR="00301A90" w:rsidRDefault="00301A90" w:rsidP="009B3C4B">
      <w:pPr>
        <w:pStyle w:val="NoSpacing"/>
        <w:rPr>
          <w:rFonts w:eastAsiaTheme="minorEastAsia" w:cstheme="minorBidi"/>
          <w:bCs/>
          <w:kern w:val="24"/>
          <w:sz w:val="20"/>
          <w:szCs w:val="20"/>
        </w:rPr>
      </w:pPr>
      <w:r>
        <w:rPr>
          <w:rFonts w:eastAsiaTheme="minorEastAsia" w:cstheme="minorBidi"/>
          <w:bCs/>
          <w:kern w:val="24"/>
          <w:sz w:val="20"/>
          <w:szCs w:val="20"/>
        </w:rPr>
        <w:tab/>
        <w:t>•A platform must extend 22" past the swing of the door.</w:t>
      </w:r>
    </w:p>
    <w:p w:rsidR="00AF2E73" w:rsidRDefault="00AF2E73" w:rsidP="009B3C4B">
      <w:pPr>
        <w:pStyle w:val="NoSpacing"/>
        <w:rPr>
          <w:rFonts w:eastAsiaTheme="minorEastAsia" w:cstheme="minorBidi"/>
          <w:bCs/>
          <w:kern w:val="24"/>
          <w:sz w:val="20"/>
          <w:szCs w:val="20"/>
        </w:rPr>
      </w:pPr>
    </w:p>
    <w:p w:rsidR="00301A90" w:rsidRDefault="00301A90" w:rsidP="009B3C4B">
      <w:pPr>
        <w:pStyle w:val="NoSpacing"/>
        <w:rPr>
          <w:rFonts w:eastAsiaTheme="minorEastAsia" w:cstheme="minorBidi"/>
          <w:bCs/>
          <w:kern w:val="24"/>
          <w:sz w:val="20"/>
          <w:szCs w:val="20"/>
        </w:rPr>
      </w:pPr>
    </w:p>
    <w:p w:rsidR="00301A90" w:rsidRDefault="00AF2E73" w:rsidP="00AF2E73">
      <w:pPr>
        <w:pStyle w:val="NoSpacing"/>
        <w:jc w:val="center"/>
        <w:rPr>
          <w:rFonts w:eastAsiaTheme="minorEastAsia" w:cstheme="minorBidi"/>
          <w:bCs/>
          <w:kern w:val="24"/>
          <w:sz w:val="20"/>
          <w:szCs w:val="20"/>
        </w:rPr>
      </w:pPr>
      <w:r w:rsidRPr="00AF2E73">
        <w:rPr>
          <w:rFonts w:eastAsiaTheme="minorEastAsia" w:cstheme="minorBidi"/>
          <w:bCs/>
          <w:noProof/>
          <w:kern w:val="24"/>
          <w:sz w:val="20"/>
          <w:szCs w:val="20"/>
        </w:rPr>
        <w:drawing>
          <wp:inline distT="0" distB="0" distL="0" distR="0">
            <wp:extent cx="2682240" cy="4134408"/>
            <wp:effectExtent l="0" t="0" r="3810" b="0"/>
            <wp:docPr id="5" name="Picture 5" descr="C:\Users\bdesrosiers\Desktop\Rules and Regulation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desrosiers\Desktop\Rules and Regulations.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3344" cy="4151524"/>
                    </a:xfrm>
                    <a:prstGeom prst="rect">
                      <a:avLst/>
                    </a:prstGeom>
                    <a:noFill/>
                    <a:ln>
                      <a:noFill/>
                    </a:ln>
                  </pic:spPr>
                </pic:pic>
              </a:graphicData>
            </a:graphic>
          </wp:inline>
        </w:drawing>
      </w:r>
    </w:p>
    <w:sectPr w:rsidR="00301A90" w:rsidSect="00A44608">
      <w:headerReference w:type="default" r:id="rId12"/>
      <w:footerReference w:type="defaul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60D" w:rsidRDefault="00FA260D">
      <w:r>
        <w:separator/>
      </w:r>
    </w:p>
  </w:endnote>
  <w:endnote w:type="continuationSeparator" w:id="0">
    <w:p w:rsidR="00FA260D" w:rsidRDefault="00FA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78" w:rsidRDefault="00A44608">
    <w:pPr>
      <w:pStyle w:val="Footer"/>
      <w:jc w:val="center"/>
      <w:rPr>
        <w:rFonts w:ascii="Book Antiqua" w:hAnsi="Book Antiqua"/>
        <w:snapToGrid w:val="0"/>
        <w:sz w:val="22"/>
      </w:rPr>
    </w:pPr>
    <w:r w:rsidRPr="00A44608">
      <w:rPr>
        <w:rFonts w:ascii="Book Antiqua" w:hAnsi="Book Antiqua"/>
        <w:noProof/>
        <w:snapToGrid w:val="0"/>
        <w:sz w:val="22"/>
      </w:rPr>
      <w:drawing>
        <wp:inline distT="0" distB="0" distL="0" distR="0">
          <wp:extent cx="2039112" cy="347472"/>
          <wp:effectExtent l="0" t="0" r="0" b="0"/>
          <wp:docPr id="1" name="Picture 1" descr="C:\Users\bdesrosiers\Desktop\EmailSignature_Small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bdesrosiers\Desktop\EmailSignature_Small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112" cy="347472"/>
                  </a:xfrm>
                  <a:prstGeom prst="rect">
                    <a:avLst/>
                  </a:prstGeom>
                  <a:noFill/>
                  <a:ln>
                    <a:noFill/>
                  </a:ln>
                </pic:spPr>
              </pic:pic>
            </a:graphicData>
          </a:graphic>
        </wp:inline>
      </w:drawing>
    </w:r>
    <w:r w:rsidRPr="00A44608">
      <w:rPr>
        <w:rFonts w:ascii="HelveticaNeue-Roman" w:hAnsi="HelveticaNeue-Roman"/>
        <w:noProof/>
        <w:snapToGrid w:val="0"/>
        <w:color w:val="808080" w:themeColor="background1" w:themeShade="80"/>
        <w:sz w:val="16"/>
      </w:rPr>
      <mc:AlternateContent>
        <mc:Choice Requires="wpg">
          <w:drawing>
            <wp:anchor distT="0" distB="0" distL="0" distR="0" simplePos="0" relativeHeight="25166233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28"/>
                                <w:szCs w:val="2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44608" w:rsidRDefault="00E4255B">
                                <w:pPr>
                                  <w:jc w:val="right"/>
                                  <w:rPr>
                                    <w:color w:val="7F7F7F" w:themeColor="text1" w:themeTint="80"/>
                                  </w:rPr>
                                </w:pPr>
                                <w:r>
                                  <w:rPr>
                                    <w:color w:val="7F7F7F" w:themeColor="text1" w:themeTint="80"/>
                                    <w:sz w:val="28"/>
                                    <w:szCs w:val="28"/>
                                  </w:rPr>
                                  <w:t>33</w:t>
                                </w:r>
                              </w:p>
                            </w:sdtContent>
                          </w:sdt>
                          <w:p w:rsidR="00A44608" w:rsidRDefault="00A4460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left:0;text-align:left;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sz w:val="28"/>
                          <w:szCs w:val="28"/>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44608" w:rsidRDefault="00E4255B">
                          <w:pPr>
                            <w:jc w:val="right"/>
                            <w:rPr>
                              <w:color w:val="7F7F7F" w:themeColor="text1" w:themeTint="80"/>
                            </w:rPr>
                          </w:pPr>
                          <w:r>
                            <w:rPr>
                              <w:color w:val="7F7F7F" w:themeColor="text1" w:themeTint="80"/>
                              <w:sz w:val="28"/>
                              <w:szCs w:val="28"/>
                            </w:rPr>
                            <w:t>33</w:t>
                          </w:r>
                        </w:p>
                      </w:sdtContent>
                    </w:sdt>
                    <w:p w:rsidR="00A44608" w:rsidRDefault="00A44608">
                      <w:pPr>
                        <w:jc w:val="right"/>
                        <w:rPr>
                          <w:color w:val="808080" w:themeColor="background1" w:themeShade="80"/>
                        </w:rPr>
                      </w:pPr>
                    </w:p>
                  </w:txbxContent>
                </v:textbox>
              </v:shape>
              <w10:wrap type="square" anchorx="margin" anchory="margin"/>
            </v:group>
          </w:pict>
        </mc:Fallback>
      </mc:AlternateContent>
    </w:r>
    <w:r w:rsidRPr="00A44608">
      <w:rPr>
        <w:rFonts w:ascii="HelveticaNeue-Roman" w:hAnsi="HelveticaNeue-Roman"/>
        <w:noProof/>
        <w:snapToGrid w:val="0"/>
        <w:sz w:val="16"/>
      </w:rPr>
      <mc:AlternateContent>
        <mc:Choice Requires="wps">
          <w:drawing>
            <wp:anchor distT="0" distB="0" distL="0" distR="0" simplePos="0" relativeHeight="25166131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4608" w:rsidRDefault="00A446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7694E">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left:0;text-align:left;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A44608" w:rsidRDefault="00A4460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7694E">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60D" w:rsidRDefault="00FA260D">
      <w:r>
        <w:separator/>
      </w:r>
    </w:p>
  </w:footnote>
  <w:footnote w:type="continuationSeparator" w:id="0">
    <w:p w:rsidR="00FA260D" w:rsidRDefault="00FA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78" w:rsidRDefault="005E4154" w:rsidP="00F431DA">
    <w:pPr>
      <w:keepNext/>
      <w:outlineLvl w:val="2"/>
    </w:pPr>
    <w:r>
      <w:t>STAIRWAY</w:t>
    </w:r>
    <w:r w:rsidR="00B66B92">
      <w:t xml:space="preserve"> AND LADDER SAFETY</w:t>
    </w:r>
  </w:p>
  <w:p w:rsidR="00F85878" w:rsidRDefault="00771E5D">
    <w:pPr>
      <w:rPr>
        <w:snapToGrid w:val="0"/>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30480</wp:posOffset>
              </wp:positionV>
              <wp:extent cx="6309360" cy="0"/>
              <wp:effectExtent l="28575" t="30480" r="34290" b="361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A00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9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Eg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" o:allowincell="f" strokeweight="4.5pt">
              <w10:wrap type="topAndBottom"/>
            </v:line>
          </w:pict>
        </mc:Fallback>
      </mc:AlternateContent>
    </w:r>
  </w:p>
  <w:p w:rsidR="00F85878" w:rsidRDefault="00771E5D">
    <w:pP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F85878" w:rsidRDefault="00FA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102E"/>
    <w:multiLevelType w:val="multilevel"/>
    <w:tmpl w:val="F99A3600"/>
    <w:lvl w:ilvl="0">
      <w:start w:val="1"/>
      <w:numFmt w:val="decimal"/>
      <w:lvlText w:val="%1."/>
      <w:lvlJc w:val="left"/>
      <w:pPr>
        <w:tabs>
          <w:tab w:val="num" w:pos="720"/>
        </w:tabs>
        <w:ind w:left="720" w:hanging="720"/>
      </w:pPr>
      <w:rPr>
        <w:rFonts w:hint="default"/>
      </w:rPr>
    </w:lvl>
    <w:lvl w:ilvl="1">
      <w:start w:val="1"/>
      <w:numFmt w:val="none"/>
      <w:lvlText w:val="2.5"/>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764B4"/>
    <w:multiLevelType w:val="multilevel"/>
    <w:tmpl w:val="2500FA8A"/>
    <w:lvl w:ilvl="0">
      <w:start w:val="1"/>
      <w:numFmt w:val="decimal"/>
      <w:lvlText w:val="%1."/>
      <w:lvlJc w:val="left"/>
      <w:pPr>
        <w:tabs>
          <w:tab w:val="num" w:pos="720"/>
        </w:tabs>
        <w:ind w:left="720" w:hanging="720"/>
      </w:pPr>
      <w:rPr>
        <w:rFonts w:hint="default"/>
      </w:rPr>
    </w:lvl>
    <w:lvl w:ilvl="1">
      <w:start w:val="1"/>
      <w:numFmt w:val="none"/>
      <w:lvlText w:val="2.2"/>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B72F3B"/>
    <w:multiLevelType w:val="multilevel"/>
    <w:tmpl w:val="A1EC51FE"/>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4"/>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5B4EF6"/>
    <w:multiLevelType w:val="multilevel"/>
    <w:tmpl w:val="9FBA2DC2"/>
    <w:lvl w:ilvl="0">
      <w:start w:val="4"/>
      <w:numFmt w:val="none"/>
      <w:lvlText w:val="3."/>
      <w:lvlJc w:val="left"/>
      <w:pPr>
        <w:tabs>
          <w:tab w:val="num" w:pos="1440"/>
        </w:tabs>
        <w:ind w:left="1440" w:hanging="720"/>
      </w:pPr>
      <w:rPr>
        <w:rFonts w:hint="default"/>
      </w:rPr>
    </w:lvl>
    <w:lvl w:ilvl="1">
      <w:start w:val="1"/>
      <w:numFmt w:val="none"/>
      <w:lvlText w:val="4.1"/>
      <w:lvlJc w:val="left"/>
      <w:pPr>
        <w:tabs>
          <w:tab w:val="num" w:pos="2160"/>
        </w:tabs>
        <w:ind w:left="2160" w:hanging="720"/>
      </w:pPr>
      <w:rPr>
        <w:rFonts w:hint="default"/>
      </w:rPr>
    </w:lvl>
    <w:lvl w:ilvl="2">
      <w:start w:val="1"/>
      <w:numFmt w:val="none"/>
      <w:lvlText w:val="4.1.7"/>
      <w:lvlJc w:val="left"/>
      <w:pPr>
        <w:tabs>
          <w:tab w:val="num" w:pos="2880"/>
        </w:tabs>
        <w:ind w:left="2880" w:hanging="720"/>
      </w:pPr>
      <w:rPr>
        <w:rFonts w:hint="default"/>
      </w:rPr>
    </w:lvl>
    <w:lvl w:ilvl="3">
      <w:start w:val="2"/>
      <w:numFmt w:val="none"/>
      <w:lvlText w:val="3.1.1.1."/>
      <w:lvlJc w:val="left"/>
      <w:pPr>
        <w:tabs>
          <w:tab w:val="num" w:pos="3600"/>
        </w:tabs>
        <w:ind w:left="3600" w:hanging="720"/>
      </w:pPr>
      <w:rPr>
        <w:rFonts w:hint="default"/>
      </w:rPr>
    </w:lvl>
    <w:lvl w:ilvl="4">
      <w:start w:val="1"/>
      <w:numFmt w:val="decimal"/>
      <w:lvlText w:val="%41.5"/>
      <w:lvlJc w:val="left"/>
      <w:pPr>
        <w:tabs>
          <w:tab w:val="num" w:pos="4320"/>
        </w:tabs>
        <w:ind w:left="4320" w:hanging="720"/>
      </w:pPr>
      <w:rPr>
        <w:rFonts w:hint="default"/>
      </w:rPr>
    </w:lvl>
    <w:lvl w:ilvl="5">
      <w:start w:val="1"/>
      <w:numFmt w:val="decimal"/>
      <w:lvlText w:val="%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197A5F"/>
    <w:multiLevelType w:val="multilevel"/>
    <w:tmpl w:val="58144D76"/>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276309"/>
    <w:multiLevelType w:val="multilevel"/>
    <w:tmpl w:val="7534DFEE"/>
    <w:lvl w:ilvl="0">
      <w:start w:val="1"/>
      <w:numFmt w:val="decimal"/>
      <w:lvlText w:val="%1."/>
      <w:lvlJc w:val="left"/>
      <w:pPr>
        <w:tabs>
          <w:tab w:val="num" w:pos="720"/>
        </w:tabs>
        <w:ind w:left="720" w:hanging="720"/>
      </w:pPr>
      <w:rPr>
        <w:rFonts w:hint="default"/>
      </w:rPr>
    </w:lvl>
    <w:lvl w:ilvl="1">
      <w:start w:val="1"/>
      <w:numFmt w:val="none"/>
      <w:lvlText w:val="2.4"/>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3B6B2E"/>
    <w:multiLevelType w:val="multilevel"/>
    <w:tmpl w:val="3F0E783E"/>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CF6BF8"/>
    <w:multiLevelType w:val="multilevel"/>
    <w:tmpl w:val="8D44F76C"/>
    <w:lvl w:ilvl="0">
      <w:start w:val="1"/>
      <w:numFmt w:val="decimal"/>
      <w:lvlText w:val="%1."/>
      <w:lvlJc w:val="left"/>
      <w:pPr>
        <w:tabs>
          <w:tab w:val="num" w:pos="720"/>
        </w:tabs>
        <w:ind w:left="720" w:hanging="720"/>
      </w:pPr>
      <w:rPr>
        <w:rFonts w:hint="default"/>
      </w:rPr>
    </w:lvl>
    <w:lvl w:ilvl="1">
      <w:start w:val="1"/>
      <w:numFmt w:val="none"/>
      <w:lvlText w:val="1.2"/>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E42FDB"/>
    <w:multiLevelType w:val="multilevel"/>
    <w:tmpl w:val="5B8EEADC"/>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7D01F9"/>
    <w:multiLevelType w:val="multilevel"/>
    <w:tmpl w:val="CC84744E"/>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0662B"/>
    <w:multiLevelType w:val="multilevel"/>
    <w:tmpl w:val="13B6AEF2"/>
    <w:lvl w:ilvl="0">
      <w:start w:val="4"/>
      <w:numFmt w:val="decimal"/>
      <w:lvlText w:val="%1."/>
      <w:lvlJc w:val="left"/>
      <w:pPr>
        <w:tabs>
          <w:tab w:val="num" w:pos="720"/>
        </w:tabs>
        <w:ind w:left="720" w:hanging="720"/>
      </w:pPr>
      <w:rPr>
        <w:rFonts w:hint="default"/>
      </w:rPr>
    </w:lvl>
    <w:lvl w:ilvl="1">
      <w:start w:val="1"/>
      <w:numFmt w:val="none"/>
      <w:lvlText w:val="3.1"/>
      <w:lvlJc w:val="left"/>
      <w:pPr>
        <w:tabs>
          <w:tab w:val="num" w:pos="1440"/>
        </w:tabs>
        <w:ind w:left="1440" w:hanging="720"/>
      </w:pPr>
      <w:rPr>
        <w:rFonts w:hint="default"/>
      </w:rPr>
    </w:lvl>
    <w:lvl w:ilvl="2">
      <w:start w:val="1"/>
      <w:numFmt w:val="none"/>
      <w:lvlText w:val="4.1.7"/>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1941A9"/>
    <w:multiLevelType w:val="hybridMultilevel"/>
    <w:tmpl w:val="3FC6F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442E3F"/>
    <w:multiLevelType w:val="multilevel"/>
    <w:tmpl w:val="72408B7A"/>
    <w:lvl w:ilvl="0">
      <w:start w:val="4"/>
      <w:numFmt w:val="decimal"/>
      <w:lvlText w:val="%1."/>
      <w:lvlJc w:val="left"/>
      <w:pPr>
        <w:tabs>
          <w:tab w:val="num" w:pos="720"/>
        </w:tabs>
        <w:ind w:left="720" w:hanging="720"/>
      </w:pPr>
      <w:rPr>
        <w:rFonts w:hint="default"/>
      </w:rPr>
    </w:lvl>
    <w:lvl w:ilvl="1">
      <w:start w:val="1"/>
      <w:numFmt w:val="none"/>
      <w:lvlText w:val="5.2"/>
      <w:lvlJc w:val="left"/>
      <w:pPr>
        <w:tabs>
          <w:tab w:val="num" w:pos="1440"/>
        </w:tabs>
        <w:ind w:left="1440" w:hanging="720"/>
      </w:pPr>
      <w:rPr>
        <w:rFonts w:hint="default"/>
      </w:rPr>
    </w:lvl>
    <w:lvl w:ilvl="2">
      <w:start w:val="1"/>
      <w:numFmt w:val="none"/>
      <w:lvlText w:val="3.2.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135820"/>
    <w:multiLevelType w:val="multilevel"/>
    <w:tmpl w:val="19B235A0"/>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68212D"/>
    <w:multiLevelType w:val="multilevel"/>
    <w:tmpl w:val="4894DEB8"/>
    <w:lvl w:ilvl="0">
      <w:start w:val="1"/>
      <w:numFmt w:val="decimal"/>
      <w:lvlText w:val="%1."/>
      <w:lvlJc w:val="left"/>
      <w:pPr>
        <w:tabs>
          <w:tab w:val="num" w:pos="720"/>
        </w:tabs>
        <w:ind w:left="720" w:hanging="720"/>
      </w:pPr>
      <w:rPr>
        <w:rFonts w:hint="default"/>
        <w:b w:val="0"/>
      </w:rPr>
    </w:lvl>
    <w:lvl w:ilvl="1">
      <w:start w:val="1"/>
      <w:numFmt w:val="none"/>
      <w:lvlText w:val="1.3"/>
      <w:lvlJc w:val="left"/>
      <w:pPr>
        <w:tabs>
          <w:tab w:val="num" w:pos="1530"/>
        </w:tabs>
        <w:ind w:left="153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7974D5"/>
    <w:multiLevelType w:val="multilevel"/>
    <w:tmpl w:val="B7F84AA2"/>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D874E4"/>
    <w:multiLevelType w:val="singleLevel"/>
    <w:tmpl w:val="58BEE45A"/>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57AC220D"/>
    <w:multiLevelType w:val="multilevel"/>
    <w:tmpl w:val="04E64E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7FF2B6F"/>
    <w:multiLevelType w:val="multilevel"/>
    <w:tmpl w:val="1D361432"/>
    <w:lvl w:ilvl="0">
      <w:start w:val="4"/>
      <w:numFmt w:val="decimal"/>
      <w:lvlText w:val="%1."/>
      <w:lvlJc w:val="left"/>
      <w:pPr>
        <w:tabs>
          <w:tab w:val="num" w:pos="720"/>
        </w:tabs>
        <w:ind w:left="720" w:hanging="720"/>
      </w:pPr>
      <w:rPr>
        <w:rFonts w:hint="default"/>
      </w:rPr>
    </w:lvl>
    <w:lvl w:ilvl="1">
      <w:start w:val="1"/>
      <w:numFmt w:val="none"/>
      <w:lvlText w:val="3.2"/>
      <w:lvlJc w:val="left"/>
      <w:pPr>
        <w:tabs>
          <w:tab w:val="num" w:pos="1600"/>
        </w:tabs>
        <w:ind w:left="1600" w:hanging="720"/>
      </w:pPr>
      <w:rPr>
        <w:rFonts w:hint="default"/>
      </w:rPr>
    </w:lvl>
    <w:lvl w:ilvl="2">
      <w:start w:val="1"/>
      <w:numFmt w:val="none"/>
      <w:lvlText w:val="5.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C67C6E"/>
    <w:multiLevelType w:val="multilevel"/>
    <w:tmpl w:val="11680E9C"/>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2"/>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437837"/>
    <w:multiLevelType w:val="multilevel"/>
    <w:tmpl w:val="70A032BC"/>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6"/>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D53801"/>
    <w:multiLevelType w:val="multilevel"/>
    <w:tmpl w:val="0082E230"/>
    <w:lvl w:ilvl="0">
      <w:start w:val="4"/>
      <w:numFmt w:val="decimal"/>
      <w:lvlText w:val="%1."/>
      <w:lvlJc w:val="left"/>
      <w:pPr>
        <w:tabs>
          <w:tab w:val="num" w:pos="720"/>
        </w:tabs>
        <w:ind w:left="720" w:hanging="720"/>
      </w:pPr>
      <w:rPr>
        <w:rFonts w:hint="default"/>
      </w:rPr>
    </w:lvl>
    <w:lvl w:ilvl="1">
      <w:start w:val="1"/>
      <w:numFmt w:val="none"/>
      <w:lvlText w:val="5.1"/>
      <w:lvlJc w:val="left"/>
      <w:pPr>
        <w:tabs>
          <w:tab w:val="num" w:pos="1440"/>
        </w:tabs>
        <w:ind w:left="1440" w:hanging="720"/>
      </w:pPr>
      <w:rPr>
        <w:rFonts w:hint="default"/>
      </w:rPr>
    </w:lvl>
    <w:lvl w:ilvl="2">
      <w:start w:val="1"/>
      <w:numFmt w:val="none"/>
      <w:lvlText w:val="3.1.1"/>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246562"/>
    <w:multiLevelType w:val="multilevel"/>
    <w:tmpl w:val="9C58682C"/>
    <w:lvl w:ilvl="0">
      <w:start w:val="1"/>
      <w:numFmt w:val="decimal"/>
      <w:lvlText w:val="%1."/>
      <w:lvlJc w:val="left"/>
      <w:pPr>
        <w:tabs>
          <w:tab w:val="num" w:pos="720"/>
        </w:tabs>
        <w:ind w:left="720" w:hanging="720"/>
      </w:pPr>
      <w:rPr>
        <w:rFonts w:hint="default"/>
      </w:rPr>
    </w:lvl>
    <w:lvl w:ilvl="1">
      <w:start w:val="1"/>
      <w:numFmt w:val="none"/>
      <w:lvlText w:val="2.3"/>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C923E0"/>
    <w:multiLevelType w:val="hybridMultilevel"/>
    <w:tmpl w:val="B06E08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1396A0D"/>
    <w:multiLevelType w:val="multilevel"/>
    <w:tmpl w:val="5E2E81B0"/>
    <w:lvl w:ilvl="0">
      <w:start w:val="4"/>
      <w:numFmt w:val="decimal"/>
      <w:lvlText w:val="%1."/>
      <w:lvlJc w:val="left"/>
      <w:pPr>
        <w:tabs>
          <w:tab w:val="num" w:pos="720"/>
        </w:tabs>
        <w:ind w:left="720" w:hanging="720"/>
      </w:pPr>
      <w:rPr>
        <w:rFonts w:hint="default"/>
      </w:rPr>
    </w:lvl>
    <w:lvl w:ilvl="1">
      <w:start w:val="1"/>
      <w:numFmt w:val="none"/>
      <w:lvlText w:val="4.1"/>
      <w:lvlJc w:val="left"/>
      <w:pPr>
        <w:tabs>
          <w:tab w:val="num" w:pos="1440"/>
        </w:tabs>
        <w:ind w:left="1440" w:hanging="720"/>
      </w:pPr>
      <w:rPr>
        <w:rFonts w:hint="default"/>
      </w:rPr>
    </w:lvl>
    <w:lvl w:ilvl="2">
      <w:start w:val="1"/>
      <w:numFmt w:val="none"/>
      <w:lvlText w:val="4.1.5"/>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602270"/>
    <w:multiLevelType w:val="multilevel"/>
    <w:tmpl w:val="E55A689E"/>
    <w:lvl w:ilvl="0">
      <w:start w:val="1"/>
      <w:numFmt w:val="decimal"/>
      <w:lvlText w:val="%1."/>
      <w:lvlJc w:val="left"/>
      <w:pPr>
        <w:tabs>
          <w:tab w:val="num" w:pos="720"/>
        </w:tabs>
        <w:ind w:left="720" w:hanging="720"/>
      </w:pPr>
      <w:rPr>
        <w:rFonts w:hint="default"/>
      </w:rPr>
    </w:lvl>
    <w:lvl w:ilvl="1">
      <w:start w:val="1"/>
      <w:numFmt w:val="none"/>
      <w:lvlText w:val="2.6"/>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7D70CA"/>
    <w:multiLevelType w:val="multilevel"/>
    <w:tmpl w:val="F28696E6"/>
    <w:lvl w:ilvl="0">
      <w:start w:val="1"/>
      <w:numFmt w:val="decimal"/>
      <w:lvlText w:val="%1."/>
      <w:lvlJc w:val="left"/>
      <w:pPr>
        <w:tabs>
          <w:tab w:val="num" w:pos="720"/>
        </w:tabs>
        <w:ind w:left="720" w:hanging="720"/>
      </w:pPr>
      <w:rPr>
        <w:rFonts w:hint="default"/>
      </w:rPr>
    </w:lvl>
    <w:lvl w:ilvl="1">
      <w:start w:val="1"/>
      <w:numFmt w:val="none"/>
      <w:lvlText w:val="1.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2"/>
      <w:numFmt w:val="none"/>
      <w:lvlText w:val="3.1.1.1."/>
      <w:lvlJc w:val="left"/>
      <w:pPr>
        <w:tabs>
          <w:tab w:val="num" w:pos="2880"/>
        </w:tabs>
        <w:ind w:left="2880" w:hanging="720"/>
      </w:pPr>
      <w:rPr>
        <w:rFonts w:hint="default"/>
      </w:rPr>
    </w:lvl>
    <w:lvl w:ilvl="4">
      <w:start w:val="1"/>
      <w:numFmt w:val="decimal"/>
      <w:lvlText w:val="%41.5"/>
      <w:lvlJc w:val="left"/>
      <w:pPr>
        <w:tabs>
          <w:tab w:val="num" w:pos="3600"/>
        </w:tabs>
        <w:ind w:left="3600" w:hanging="720"/>
      </w:pPr>
      <w:rPr>
        <w:rFonts w:hint="default"/>
      </w:rPr>
    </w:lvl>
    <w:lvl w:ilvl="5">
      <w:start w:val="1"/>
      <w:numFmt w:val="decimal"/>
      <w:lvlText w:val="%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6"/>
  </w:num>
  <w:num w:numId="3">
    <w:abstractNumId w:val="7"/>
  </w:num>
  <w:num w:numId="4">
    <w:abstractNumId w:val="14"/>
  </w:num>
  <w:num w:numId="5">
    <w:abstractNumId w:val="1"/>
  </w:num>
  <w:num w:numId="6">
    <w:abstractNumId w:val="22"/>
  </w:num>
  <w:num w:numId="7">
    <w:abstractNumId w:val="5"/>
  </w:num>
  <w:num w:numId="8">
    <w:abstractNumId w:val="0"/>
  </w:num>
  <w:num w:numId="9">
    <w:abstractNumId w:val="25"/>
  </w:num>
  <w:num w:numId="10">
    <w:abstractNumId w:val="3"/>
  </w:num>
  <w:num w:numId="11">
    <w:abstractNumId w:val="10"/>
  </w:num>
  <w:num w:numId="12">
    <w:abstractNumId w:val="21"/>
  </w:num>
  <w:num w:numId="13">
    <w:abstractNumId w:val="9"/>
  </w:num>
  <w:num w:numId="14">
    <w:abstractNumId w:val="4"/>
  </w:num>
  <w:num w:numId="15">
    <w:abstractNumId w:val="18"/>
  </w:num>
  <w:num w:numId="16">
    <w:abstractNumId w:val="6"/>
  </w:num>
  <w:num w:numId="17">
    <w:abstractNumId w:val="12"/>
  </w:num>
  <w:num w:numId="18">
    <w:abstractNumId w:val="8"/>
  </w:num>
  <w:num w:numId="19">
    <w:abstractNumId w:val="17"/>
  </w:num>
  <w:num w:numId="20">
    <w:abstractNumId w:val="13"/>
  </w:num>
  <w:num w:numId="21">
    <w:abstractNumId w:val="19"/>
  </w:num>
  <w:num w:numId="22">
    <w:abstractNumId w:val="15"/>
  </w:num>
  <w:num w:numId="23">
    <w:abstractNumId w:val="2"/>
  </w:num>
  <w:num w:numId="24">
    <w:abstractNumId w:val="24"/>
  </w:num>
  <w:num w:numId="25">
    <w:abstractNumId w:val="20"/>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9E"/>
    <w:rsid w:val="000610BE"/>
    <w:rsid w:val="00111360"/>
    <w:rsid w:val="0011489E"/>
    <w:rsid w:val="0012018F"/>
    <w:rsid w:val="0026498E"/>
    <w:rsid w:val="002E177C"/>
    <w:rsid w:val="00301A90"/>
    <w:rsid w:val="00431871"/>
    <w:rsid w:val="00456EC3"/>
    <w:rsid w:val="004A3D62"/>
    <w:rsid w:val="004D05CF"/>
    <w:rsid w:val="005D5B9F"/>
    <w:rsid w:val="005E4154"/>
    <w:rsid w:val="00771E5D"/>
    <w:rsid w:val="007A09BE"/>
    <w:rsid w:val="007A4B21"/>
    <w:rsid w:val="007B4D19"/>
    <w:rsid w:val="0082165B"/>
    <w:rsid w:val="008D2344"/>
    <w:rsid w:val="008E047C"/>
    <w:rsid w:val="0097444D"/>
    <w:rsid w:val="009B3C4B"/>
    <w:rsid w:val="009D7F43"/>
    <w:rsid w:val="00A11EB0"/>
    <w:rsid w:val="00A44608"/>
    <w:rsid w:val="00AD42F8"/>
    <w:rsid w:val="00AF2E73"/>
    <w:rsid w:val="00B66B92"/>
    <w:rsid w:val="00C27F82"/>
    <w:rsid w:val="00C622CD"/>
    <w:rsid w:val="00C86272"/>
    <w:rsid w:val="00CD22F2"/>
    <w:rsid w:val="00D373FF"/>
    <w:rsid w:val="00D552CA"/>
    <w:rsid w:val="00D7694E"/>
    <w:rsid w:val="00DE05AC"/>
    <w:rsid w:val="00E4255B"/>
    <w:rsid w:val="00F1735B"/>
    <w:rsid w:val="00F23B9F"/>
    <w:rsid w:val="00F35656"/>
    <w:rsid w:val="00F431DA"/>
    <w:rsid w:val="00F65D60"/>
    <w:rsid w:val="00FA260D"/>
    <w:rsid w:val="00FD2A25"/>
    <w:rsid w:val="00FF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EDA82"/>
  <w15:chartTrackingRefBased/>
  <w15:docId w15:val="{9FAF438C-783D-4A99-8B3A-945D37B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E5D"/>
    <w:pPr>
      <w:spacing w:after="0" w:line="240" w:lineRule="auto"/>
    </w:pPr>
    <w:rPr>
      <w:rFonts w:ascii="Book Antiqua" w:eastAsia="Times New Roman" w:hAnsi="Book Antiqua" w:cs="Times New Roman"/>
      <w:szCs w:val="24"/>
    </w:rPr>
  </w:style>
  <w:style w:type="paragraph" w:styleId="Heading2">
    <w:name w:val="heading 2"/>
    <w:basedOn w:val="Normal"/>
    <w:next w:val="Normal"/>
    <w:link w:val="Heading2Char"/>
    <w:qFormat/>
    <w:rsid w:val="00771E5D"/>
    <w:pPr>
      <w:keepNext/>
      <w:outlineLvl w:val="1"/>
    </w:pPr>
    <w:rPr>
      <w:rFonts w:ascii="Times New Roman" w:hAnsi="Times New Roman"/>
      <w:snapToGrid w:val="0"/>
      <w:sz w:val="24"/>
      <w:szCs w:val="20"/>
    </w:rPr>
  </w:style>
  <w:style w:type="paragraph" w:styleId="Heading3">
    <w:name w:val="heading 3"/>
    <w:basedOn w:val="Normal"/>
    <w:next w:val="Normal"/>
    <w:link w:val="Heading3Char"/>
    <w:uiPriority w:val="9"/>
    <w:semiHidden/>
    <w:unhideWhenUsed/>
    <w:qFormat/>
    <w:rsid w:val="007A4B2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7A4B2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771E5D"/>
    <w:pPr>
      <w:keepNext/>
      <w:jc w:val="center"/>
      <w:outlineLvl w:val="4"/>
    </w:pPr>
    <w:rPr>
      <w:rFonts w:ascii="Times New Roman" w:hAnsi="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1E5D"/>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771E5D"/>
    <w:rPr>
      <w:rFonts w:ascii="Times New Roman" w:eastAsia="Times New Roman" w:hAnsi="Times New Roman" w:cs="Times New Roman"/>
      <w:b/>
      <w:snapToGrid w:val="0"/>
      <w:sz w:val="24"/>
      <w:szCs w:val="20"/>
    </w:rPr>
  </w:style>
  <w:style w:type="paragraph" w:styleId="Header">
    <w:name w:val="header"/>
    <w:basedOn w:val="Normal"/>
    <w:link w:val="HeaderChar"/>
    <w:rsid w:val="00771E5D"/>
    <w:pPr>
      <w:tabs>
        <w:tab w:val="center" w:pos="4320"/>
        <w:tab w:val="right" w:pos="8640"/>
      </w:tabs>
    </w:pPr>
    <w:rPr>
      <w:szCs w:val="20"/>
    </w:rPr>
  </w:style>
  <w:style w:type="character" w:customStyle="1" w:styleId="HeaderChar">
    <w:name w:val="Header Char"/>
    <w:basedOn w:val="DefaultParagraphFont"/>
    <w:link w:val="Header"/>
    <w:rsid w:val="00771E5D"/>
    <w:rPr>
      <w:rFonts w:ascii="Book Antiqua" w:eastAsia="Times New Roman" w:hAnsi="Book Antiqua" w:cs="Times New Roman"/>
      <w:szCs w:val="20"/>
    </w:rPr>
  </w:style>
  <w:style w:type="paragraph" w:styleId="Footer">
    <w:name w:val="footer"/>
    <w:basedOn w:val="Normal"/>
    <w:link w:val="FooterChar"/>
    <w:rsid w:val="00771E5D"/>
    <w:pPr>
      <w:tabs>
        <w:tab w:val="center" w:pos="4320"/>
        <w:tab w:val="right" w:pos="8640"/>
      </w:tabs>
    </w:pPr>
    <w:rPr>
      <w:rFonts w:ascii="Times New Roman" w:hAnsi="Times New Roman"/>
      <w:sz w:val="20"/>
      <w:szCs w:val="20"/>
    </w:rPr>
  </w:style>
  <w:style w:type="character" w:customStyle="1" w:styleId="FooterChar">
    <w:name w:val="Footer Char"/>
    <w:basedOn w:val="DefaultParagraphFont"/>
    <w:link w:val="Footer"/>
    <w:rsid w:val="00771E5D"/>
    <w:rPr>
      <w:rFonts w:ascii="Times New Roman" w:eastAsia="Times New Roman" w:hAnsi="Times New Roman" w:cs="Times New Roman"/>
      <w:sz w:val="20"/>
      <w:szCs w:val="20"/>
    </w:rPr>
  </w:style>
  <w:style w:type="paragraph" w:styleId="BodyText">
    <w:name w:val="Body Text"/>
    <w:basedOn w:val="Normal"/>
    <w:link w:val="BodyTextChar"/>
    <w:rsid w:val="00771E5D"/>
    <w:pPr>
      <w:jc w:val="both"/>
    </w:pPr>
    <w:rPr>
      <w:rFonts w:ascii="Times New Roman" w:hAnsi="Times New Roman"/>
      <w:snapToGrid w:val="0"/>
      <w:sz w:val="24"/>
      <w:szCs w:val="20"/>
    </w:rPr>
  </w:style>
  <w:style w:type="character" w:customStyle="1" w:styleId="BodyTextChar">
    <w:name w:val="Body Text Char"/>
    <w:basedOn w:val="DefaultParagraphFont"/>
    <w:link w:val="BodyText"/>
    <w:rsid w:val="00771E5D"/>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431DA"/>
    <w:pPr>
      <w:ind w:left="720"/>
      <w:contextualSpacing/>
    </w:pPr>
  </w:style>
  <w:style w:type="character" w:customStyle="1" w:styleId="Heading3Char">
    <w:name w:val="Heading 3 Char"/>
    <w:basedOn w:val="DefaultParagraphFont"/>
    <w:link w:val="Heading3"/>
    <w:uiPriority w:val="9"/>
    <w:semiHidden/>
    <w:rsid w:val="007A4B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A4B21"/>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semiHidden/>
    <w:unhideWhenUsed/>
    <w:rsid w:val="009B3C4B"/>
    <w:pPr>
      <w:spacing w:before="100" w:beforeAutospacing="1" w:after="100" w:afterAutospacing="1"/>
    </w:pPr>
    <w:rPr>
      <w:rFonts w:ascii="Times New Roman" w:hAnsi="Times New Roman"/>
      <w:sz w:val="24"/>
    </w:rPr>
  </w:style>
  <w:style w:type="paragraph" w:styleId="NoSpacing">
    <w:name w:val="No Spacing"/>
    <w:uiPriority w:val="1"/>
    <w:qFormat/>
    <w:rsid w:val="009B3C4B"/>
    <w:pPr>
      <w:spacing w:after="0" w:line="240" w:lineRule="auto"/>
    </w:pPr>
    <w:rPr>
      <w:rFonts w:ascii="Book Antiqua" w:eastAsia="Times New Roman" w:hAnsi="Book Antiqu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11844">
      <w:bodyDiv w:val="1"/>
      <w:marLeft w:val="0"/>
      <w:marRight w:val="0"/>
      <w:marTop w:val="0"/>
      <w:marBottom w:val="0"/>
      <w:divBdr>
        <w:top w:val="none" w:sz="0" w:space="0" w:color="auto"/>
        <w:left w:val="none" w:sz="0" w:space="0" w:color="auto"/>
        <w:bottom w:val="none" w:sz="0" w:space="0" w:color="auto"/>
        <w:right w:val="none" w:sz="0" w:space="0" w:color="auto"/>
      </w:divBdr>
      <w:divsChild>
        <w:div w:id="388770791">
          <w:marLeft w:val="0"/>
          <w:marRight w:val="0"/>
          <w:marTop w:val="0"/>
          <w:marBottom w:val="0"/>
          <w:divBdr>
            <w:top w:val="none" w:sz="0" w:space="0" w:color="auto"/>
            <w:left w:val="none" w:sz="0" w:space="0" w:color="auto"/>
            <w:bottom w:val="none" w:sz="0" w:space="0" w:color="auto"/>
            <w:right w:val="none" w:sz="0" w:space="0" w:color="auto"/>
          </w:divBdr>
          <w:divsChild>
            <w:div w:id="584652602">
              <w:marLeft w:val="0"/>
              <w:marRight w:val="0"/>
              <w:marTop w:val="0"/>
              <w:marBottom w:val="0"/>
              <w:divBdr>
                <w:top w:val="none" w:sz="0" w:space="0" w:color="auto"/>
                <w:left w:val="none" w:sz="0" w:space="0" w:color="auto"/>
                <w:bottom w:val="none" w:sz="0" w:space="0" w:color="auto"/>
                <w:right w:val="none" w:sz="0" w:space="0" w:color="auto"/>
              </w:divBdr>
              <w:divsChild>
                <w:div w:id="390424314">
                  <w:marLeft w:val="0"/>
                  <w:marRight w:val="0"/>
                  <w:marTop w:val="0"/>
                  <w:marBottom w:val="0"/>
                  <w:divBdr>
                    <w:top w:val="none" w:sz="0" w:space="0" w:color="auto"/>
                    <w:left w:val="none" w:sz="0" w:space="0" w:color="auto"/>
                    <w:bottom w:val="none" w:sz="0" w:space="0" w:color="auto"/>
                    <w:right w:val="none" w:sz="0" w:space="0" w:color="auto"/>
                  </w:divBdr>
                  <w:divsChild>
                    <w:div w:id="342825729">
                      <w:marLeft w:val="0"/>
                      <w:marRight w:val="0"/>
                      <w:marTop w:val="0"/>
                      <w:marBottom w:val="0"/>
                      <w:divBdr>
                        <w:top w:val="none" w:sz="0" w:space="0" w:color="auto"/>
                        <w:left w:val="none" w:sz="0" w:space="0" w:color="auto"/>
                        <w:bottom w:val="none" w:sz="0" w:space="0" w:color="auto"/>
                        <w:right w:val="none" w:sz="0" w:space="0" w:color="auto"/>
                      </w:divBdr>
                      <w:divsChild>
                        <w:div w:id="368338818">
                          <w:marLeft w:val="0"/>
                          <w:marRight w:val="0"/>
                          <w:marTop w:val="0"/>
                          <w:marBottom w:val="0"/>
                          <w:divBdr>
                            <w:top w:val="none" w:sz="0" w:space="0" w:color="auto"/>
                            <w:left w:val="none" w:sz="0" w:space="0" w:color="auto"/>
                            <w:bottom w:val="none" w:sz="0" w:space="0" w:color="auto"/>
                            <w:right w:val="none" w:sz="0" w:space="0" w:color="auto"/>
                          </w:divBdr>
                          <w:divsChild>
                            <w:div w:id="635260527">
                              <w:marLeft w:val="0"/>
                              <w:marRight w:val="0"/>
                              <w:marTop w:val="0"/>
                              <w:marBottom w:val="0"/>
                              <w:divBdr>
                                <w:top w:val="none" w:sz="0" w:space="0" w:color="auto"/>
                                <w:left w:val="none" w:sz="0" w:space="0" w:color="auto"/>
                                <w:bottom w:val="none" w:sz="0" w:space="0" w:color="auto"/>
                                <w:right w:val="none" w:sz="0" w:space="0" w:color="auto"/>
                              </w:divBdr>
                              <w:divsChild>
                                <w:div w:id="1969312972">
                                  <w:marLeft w:val="0"/>
                                  <w:marRight w:val="0"/>
                                  <w:marTop w:val="0"/>
                                  <w:marBottom w:val="0"/>
                                  <w:divBdr>
                                    <w:top w:val="none" w:sz="0" w:space="0" w:color="auto"/>
                                    <w:left w:val="none" w:sz="0" w:space="0" w:color="auto"/>
                                    <w:bottom w:val="none" w:sz="0" w:space="0" w:color="auto"/>
                                    <w:right w:val="none" w:sz="0" w:space="0" w:color="auto"/>
                                  </w:divBdr>
                                  <w:divsChild>
                                    <w:div w:id="581568766">
                                      <w:marLeft w:val="0"/>
                                      <w:marRight w:val="0"/>
                                      <w:marTop w:val="0"/>
                                      <w:marBottom w:val="0"/>
                                      <w:divBdr>
                                        <w:top w:val="none" w:sz="0" w:space="0" w:color="auto"/>
                                        <w:left w:val="none" w:sz="0" w:space="0" w:color="auto"/>
                                        <w:bottom w:val="none" w:sz="0" w:space="0" w:color="auto"/>
                                        <w:right w:val="none" w:sz="0" w:space="0" w:color="auto"/>
                                      </w:divBdr>
                                      <w:divsChild>
                                        <w:div w:id="1946575009">
                                          <w:marLeft w:val="0"/>
                                          <w:marRight w:val="0"/>
                                          <w:marTop w:val="0"/>
                                          <w:marBottom w:val="0"/>
                                          <w:divBdr>
                                            <w:top w:val="none" w:sz="0" w:space="0" w:color="auto"/>
                                            <w:left w:val="none" w:sz="0" w:space="0" w:color="auto"/>
                                            <w:bottom w:val="none" w:sz="0" w:space="0" w:color="auto"/>
                                            <w:right w:val="none" w:sz="0" w:space="0" w:color="auto"/>
                                          </w:divBdr>
                                          <w:divsChild>
                                            <w:div w:id="1817986890">
                                              <w:marLeft w:val="0"/>
                                              <w:marRight w:val="0"/>
                                              <w:marTop w:val="0"/>
                                              <w:marBottom w:val="0"/>
                                              <w:divBdr>
                                                <w:top w:val="none" w:sz="0" w:space="0" w:color="auto"/>
                                                <w:left w:val="none" w:sz="0" w:space="0" w:color="auto"/>
                                                <w:bottom w:val="none" w:sz="0" w:space="0" w:color="auto"/>
                                                <w:right w:val="none" w:sz="0" w:space="0" w:color="auto"/>
                                              </w:divBdr>
                                              <w:divsChild>
                                                <w:div w:id="964657144">
                                                  <w:marLeft w:val="0"/>
                                                  <w:marRight w:val="0"/>
                                                  <w:marTop w:val="0"/>
                                                  <w:marBottom w:val="0"/>
                                                  <w:divBdr>
                                                    <w:top w:val="none" w:sz="0" w:space="0" w:color="auto"/>
                                                    <w:left w:val="none" w:sz="0" w:space="0" w:color="auto"/>
                                                    <w:bottom w:val="none" w:sz="0" w:space="0" w:color="auto"/>
                                                    <w:right w:val="none" w:sz="0" w:space="0" w:color="auto"/>
                                                  </w:divBdr>
                                                  <w:divsChild>
                                                    <w:div w:id="2006009212">
                                                      <w:marLeft w:val="0"/>
                                                      <w:marRight w:val="0"/>
                                                      <w:marTop w:val="0"/>
                                                      <w:marBottom w:val="0"/>
                                                      <w:divBdr>
                                                        <w:top w:val="none" w:sz="0" w:space="0" w:color="auto"/>
                                                        <w:left w:val="none" w:sz="0" w:space="0" w:color="auto"/>
                                                        <w:bottom w:val="none" w:sz="0" w:space="0" w:color="auto"/>
                                                        <w:right w:val="none" w:sz="0" w:space="0" w:color="auto"/>
                                                      </w:divBdr>
                                                      <w:divsChild>
                                                        <w:div w:id="1160660880">
                                                          <w:marLeft w:val="0"/>
                                                          <w:marRight w:val="0"/>
                                                          <w:marTop w:val="0"/>
                                                          <w:marBottom w:val="0"/>
                                                          <w:divBdr>
                                                            <w:top w:val="none" w:sz="0" w:space="0" w:color="auto"/>
                                                            <w:left w:val="none" w:sz="0" w:space="0" w:color="auto"/>
                                                            <w:bottom w:val="none" w:sz="0" w:space="0" w:color="auto"/>
                                                            <w:right w:val="none" w:sz="0" w:space="0" w:color="auto"/>
                                                          </w:divBdr>
                                                          <w:divsChild>
                                                            <w:div w:id="78067064">
                                                              <w:marLeft w:val="0"/>
                                                              <w:marRight w:val="0"/>
                                                              <w:marTop w:val="0"/>
                                                              <w:marBottom w:val="0"/>
                                                              <w:divBdr>
                                                                <w:top w:val="none" w:sz="0" w:space="0" w:color="auto"/>
                                                                <w:left w:val="none" w:sz="0" w:space="0" w:color="auto"/>
                                                                <w:bottom w:val="none" w:sz="0" w:space="0" w:color="auto"/>
                                                                <w:right w:val="none" w:sz="0" w:space="0" w:color="auto"/>
                                                              </w:divBdr>
                                                              <w:divsChild>
                                                                <w:div w:id="2023509705">
                                                                  <w:marLeft w:val="0"/>
                                                                  <w:marRight w:val="0"/>
                                                                  <w:marTop w:val="0"/>
                                                                  <w:marBottom w:val="0"/>
                                                                  <w:divBdr>
                                                                    <w:top w:val="none" w:sz="0" w:space="0" w:color="auto"/>
                                                                    <w:left w:val="none" w:sz="0" w:space="0" w:color="auto"/>
                                                                    <w:bottom w:val="none" w:sz="0" w:space="0" w:color="auto"/>
                                                                    <w:right w:val="none" w:sz="0" w:space="0" w:color="auto"/>
                                                                  </w:divBdr>
                                                                  <w:divsChild>
                                                                    <w:div w:id="14436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958760">
      <w:bodyDiv w:val="1"/>
      <w:marLeft w:val="0"/>
      <w:marRight w:val="0"/>
      <w:marTop w:val="0"/>
      <w:marBottom w:val="0"/>
      <w:divBdr>
        <w:top w:val="none" w:sz="0" w:space="0" w:color="auto"/>
        <w:left w:val="none" w:sz="0" w:space="0" w:color="auto"/>
        <w:bottom w:val="none" w:sz="0" w:space="0" w:color="auto"/>
        <w:right w:val="none" w:sz="0" w:space="0" w:color="auto"/>
      </w:divBdr>
    </w:div>
    <w:div w:id="1449082065">
      <w:bodyDiv w:val="1"/>
      <w:marLeft w:val="0"/>
      <w:marRight w:val="0"/>
      <w:marTop w:val="0"/>
      <w:marBottom w:val="0"/>
      <w:divBdr>
        <w:top w:val="none" w:sz="0" w:space="0" w:color="auto"/>
        <w:left w:val="none" w:sz="0" w:space="0" w:color="auto"/>
        <w:bottom w:val="none" w:sz="0" w:space="0" w:color="auto"/>
        <w:right w:val="none" w:sz="0" w:space="0" w:color="auto"/>
      </w:divBdr>
      <w:divsChild>
        <w:div w:id="14310195">
          <w:marLeft w:val="0"/>
          <w:marRight w:val="0"/>
          <w:marTop w:val="0"/>
          <w:marBottom w:val="0"/>
          <w:divBdr>
            <w:top w:val="none" w:sz="0" w:space="0" w:color="auto"/>
            <w:left w:val="none" w:sz="0" w:space="0" w:color="auto"/>
            <w:bottom w:val="none" w:sz="0" w:space="0" w:color="auto"/>
            <w:right w:val="none" w:sz="0" w:space="0" w:color="auto"/>
          </w:divBdr>
          <w:divsChild>
            <w:div w:id="109084437">
              <w:marLeft w:val="0"/>
              <w:marRight w:val="0"/>
              <w:marTop w:val="0"/>
              <w:marBottom w:val="0"/>
              <w:divBdr>
                <w:top w:val="none" w:sz="0" w:space="0" w:color="auto"/>
                <w:left w:val="none" w:sz="0" w:space="0" w:color="auto"/>
                <w:bottom w:val="none" w:sz="0" w:space="0" w:color="auto"/>
                <w:right w:val="none" w:sz="0" w:space="0" w:color="auto"/>
              </w:divBdr>
              <w:divsChild>
                <w:div w:id="1136263725">
                  <w:marLeft w:val="0"/>
                  <w:marRight w:val="0"/>
                  <w:marTop w:val="0"/>
                  <w:marBottom w:val="0"/>
                  <w:divBdr>
                    <w:top w:val="none" w:sz="0" w:space="0" w:color="auto"/>
                    <w:left w:val="none" w:sz="0" w:space="0" w:color="auto"/>
                    <w:bottom w:val="none" w:sz="0" w:space="0" w:color="auto"/>
                    <w:right w:val="none" w:sz="0" w:space="0" w:color="auto"/>
                  </w:divBdr>
                  <w:divsChild>
                    <w:div w:id="1997411558">
                      <w:marLeft w:val="0"/>
                      <w:marRight w:val="0"/>
                      <w:marTop w:val="0"/>
                      <w:marBottom w:val="0"/>
                      <w:divBdr>
                        <w:top w:val="none" w:sz="0" w:space="0" w:color="auto"/>
                        <w:left w:val="none" w:sz="0" w:space="0" w:color="auto"/>
                        <w:bottom w:val="none" w:sz="0" w:space="0" w:color="auto"/>
                        <w:right w:val="none" w:sz="0" w:space="0" w:color="auto"/>
                      </w:divBdr>
                      <w:divsChild>
                        <w:div w:id="1241676341">
                          <w:marLeft w:val="0"/>
                          <w:marRight w:val="0"/>
                          <w:marTop w:val="0"/>
                          <w:marBottom w:val="0"/>
                          <w:divBdr>
                            <w:top w:val="none" w:sz="0" w:space="0" w:color="auto"/>
                            <w:left w:val="none" w:sz="0" w:space="0" w:color="auto"/>
                            <w:bottom w:val="none" w:sz="0" w:space="0" w:color="auto"/>
                            <w:right w:val="none" w:sz="0" w:space="0" w:color="auto"/>
                          </w:divBdr>
                          <w:divsChild>
                            <w:div w:id="97533735">
                              <w:marLeft w:val="0"/>
                              <w:marRight w:val="0"/>
                              <w:marTop w:val="0"/>
                              <w:marBottom w:val="0"/>
                              <w:divBdr>
                                <w:top w:val="none" w:sz="0" w:space="0" w:color="auto"/>
                                <w:left w:val="none" w:sz="0" w:space="0" w:color="auto"/>
                                <w:bottom w:val="none" w:sz="0" w:space="0" w:color="auto"/>
                                <w:right w:val="none" w:sz="0" w:space="0" w:color="auto"/>
                              </w:divBdr>
                              <w:divsChild>
                                <w:div w:id="1917204434">
                                  <w:marLeft w:val="0"/>
                                  <w:marRight w:val="0"/>
                                  <w:marTop w:val="0"/>
                                  <w:marBottom w:val="0"/>
                                  <w:divBdr>
                                    <w:top w:val="none" w:sz="0" w:space="0" w:color="auto"/>
                                    <w:left w:val="none" w:sz="0" w:space="0" w:color="auto"/>
                                    <w:bottom w:val="none" w:sz="0" w:space="0" w:color="auto"/>
                                    <w:right w:val="none" w:sz="0" w:space="0" w:color="auto"/>
                                  </w:divBdr>
                                  <w:divsChild>
                                    <w:div w:id="935678491">
                                      <w:marLeft w:val="0"/>
                                      <w:marRight w:val="0"/>
                                      <w:marTop w:val="0"/>
                                      <w:marBottom w:val="0"/>
                                      <w:divBdr>
                                        <w:top w:val="none" w:sz="0" w:space="0" w:color="auto"/>
                                        <w:left w:val="none" w:sz="0" w:space="0" w:color="auto"/>
                                        <w:bottom w:val="none" w:sz="0" w:space="0" w:color="auto"/>
                                        <w:right w:val="none" w:sz="0" w:space="0" w:color="auto"/>
                                      </w:divBdr>
                                      <w:divsChild>
                                        <w:div w:id="1758282081">
                                          <w:marLeft w:val="0"/>
                                          <w:marRight w:val="0"/>
                                          <w:marTop w:val="0"/>
                                          <w:marBottom w:val="0"/>
                                          <w:divBdr>
                                            <w:top w:val="none" w:sz="0" w:space="0" w:color="auto"/>
                                            <w:left w:val="none" w:sz="0" w:space="0" w:color="auto"/>
                                            <w:bottom w:val="none" w:sz="0" w:space="0" w:color="auto"/>
                                            <w:right w:val="none" w:sz="0" w:space="0" w:color="auto"/>
                                          </w:divBdr>
                                          <w:divsChild>
                                            <w:div w:id="1959095189">
                                              <w:marLeft w:val="0"/>
                                              <w:marRight w:val="0"/>
                                              <w:marTop w:val="0"/>
                                              <w:marBottom w:val="0"/>
                                              <w:divBdr>
                                                <w:top w:val="none" w:sz="0" w:space="0" w:color="auto"/>
                                                <w:left w:val="none" w:sz="0" w:space="0" w:color="auto"/>
                                                <w:bottom w:val="none" w:sz="0" w:space="0" w:color="auto"/>
                                                <w:right w:val="none" w:sz="0" w:space="0" w:color="auto"/>
                                              </w:divBdr>
                                              <w:divsChild>
                                                <w:div w:id="1715427978">
                                                  <w:marLeft w:val="0"/>
                                                  <w:marRight w:val="0"/>
                                                  <w:marTop w:val="0"/>
                                                  <w:marBottom w:val="0"/>
                                                  <w:divBdr>
                                                    <w:top w:val="none" w:sz="0" w:space="0" w:color="auto"/>
                                                    <w:left w:val="none" w:sz="0" w:space="0" w:color="auto"/>
                                                    <w:bottom w:val="none" w:sz="0" w:space="0" w:color="auto"/>
                                                    <w:right w:val="none" w:sz="0" w:space="0" w:color="auto"/>
                                                  </w:divBdr>
                                                  <w:divsChild>
                                                    <w:div w:id="2138446085">
                                                      <w:marLeft w:val="0"/>
                                                      <w:marRight w:val="0"/>
                                                      <w:marTop w:val="0"/>
                                                      <w:marBottom w:val="0"/>
                                                      <w:divBdr>
                                                        <w:top w:val="none" w:sz="0" w:space="0" w:color="auto"/>
                                                        <w:left w:val="none" w:sz="0" w:space="0" w:color="auto"/>
                                                        <w:bottom w:val="none" w:sz="0" w:space="0" w:color="auto"/>
                                                        <w:right w:val="none" w:sz="0" w:space="0" w:color="auto"/>
                                                      </w:divBdr>
                                                      <w:divsChild>
                                                        <w:div w:id="2043895838">
                                                          <w:marLeft w:val="0"/>
                                                          <w:marRight w:val="0"/>
                                                          <w:marTop w:val="0"/>
                                                          <w:marBottom w:val="0"/>
                                                          <w:divBdr>
                                                            <w:top w:val="none" w:sz="0" w:space="0" w:color="auto"/>
                                                            <w:left w:val="none" w:sz="0" w:space="0" w:color="auto"/>
                                                            <w:bottom w:val="none" w:sz="0" w:space="0" w:color="auto"/>
                                                            <w:right w:val="none" w:sz="0" w:space="0" w:color="auto"/>
                                                          </w:divBdr>
                                                          <w:divsChild>
                                                            <w:div w:id="2131044765">
                                                              <w:marLeft w:val="0"/>
                                                              <w:marRight w:val="0"/>
                                                              <w:marTop w:val="0"/>
                                                              <w:marBottom w:val="0"/>
                                                              <w:divBdr>
                                                                <w:top w:val="none" w:sz="0" w:space="0" w:color="auto"/>
                                                                <w:left w:val="none" w:sz="0" w:space="0" w:color="auto"/>
                                                                <w:bottom w:val="none" w:sz="0" w:space="0" w:color="auto"/>
                                                                <w:right w:val="none" w:sz="0" w:space="0" w:color="auto"/>
                                                              </w:divBdr>
                                                              <w:divsChild>
                                                                <w:div w:id="1875733598">
                                                                  <w:marLeft w:val="0"/>
                                                                  <w:marRight w:val="0"/>
                                                                  <w:marTop w:val="0"/>
                                                                  <w:marBottom w:val="0"/>
                                                                  <w:divBdr>
                                                                    <w:top w:val="none" w:sz="0" w:space="0" w:color="auto"/>
                                                                    <w:left w:val="none" w:sz="0" w:space="0" w:color="auto"/>
                                                                    <w:bottom w:val="none" w:sz="0" w:space="0" w:color="auto"/>
                                                                    <w:right w:val="none" w:sz="0" w:space="0" w:color="auto"/>
                                                                  </w:divBdr>
                                                                  <w:divsChild>
                                                                    <w:div w:id="1372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5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33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Piedmont Service Group</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Desrosiers, Brian</dc:creator>
  <cp:keywords/>
  <dc:description/>
  <cp:lastModifiedBy>Desrosiers, Brian</cp:lastModifiedBy>
  <cp:revision>28</cp:revision>
  <cp:lastPrinted>2017-12-29T18:38:00Z</cp:lastPrinted>
  <dcterms:created xsi:type="dcterms:W3CDTF">2017-08-09T12:49:00Z</dcterms:created>
  <dcterms:modified xsi:type="dcterms:W3CDTF">2020-11-16T19:21:00Z</dcterms:modified>
</cp:coreProperties>
</file>