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0A1E" w14:textId="77777777" w:rsidR="0092015C" w:rsidRDefault="0092015C" w:rsidP="00544CFF">
      <w:pPr>
        <w:contextualSpacing/>
        <w:rPr>
          <w:b/>
          <w:sz w:val="20"/>
          <w:szCs w:val="20"/>
        </w:rPr>
      </w:pPr>
    </w:p>
    <w:p w14:paraId="406C1856" w14:textId="77777777" w:rsidR="0030430C" w:rsidRPr="00544CFF" w:rsidRDefault="0030430C" w:rsidP="0030430C">
      <w:pPr>
        <w:contextualSpacing/>
        <w:jc w:val="center"/>
        <w:rPr>
          <w:szCs w:val="22"/>
        </w:rPr>
      </w:pPr>
      <w:r w:rsidRPr="00544CFF">
        <w:rPr>
          <w:b/>
          <w:szCs w:val="22"/>
          <w:u w:val="single"/>
        </w:rPr>
        <w:t>L</w:t>
      </w:r>
      <w:r w:rsidR="00F25F5E">
        <w:rPr>
          <w:b/>
          <w:szCs w:val="22"/>
          <w:u w:val="single"/>
        </w:rPr>
        <w:t>OCKOUT-TAG</w:t>
      </w:r>
      <w:r w:rsidR="00544CFF">
        <w:rPr>
          <w:b/>
          <w:szCs w:val="22"/>
          <w:u w:val="single"/>
        </w:rPr>
        <w:t>OUT</w:t>
      </w:r>
    </w:p>
    <w:p w14:paraId="0DEE6340" w14:textId="77777777" w:rsidR="0030430C" w:rsidRPr="0092015C" w:rsidRDefault="0030430C" w:rsidP="0030430C">
      <w:pPr>
        <w:contextualSpacing/>
        <w:rPr>
          <w:sz w:val="16"/>
          <w:szCs w:val="16"/>
        </w:rPr>
      </w:pPr>
    </w:p>
    <w:p w14:paraId="0D625715" w14:textId="77777777" w:rsidR="0030430C" w:rsidRPr="00282C18" w:rsidRDefault="00F25F5E" w:rsidP="0030430C">
      <w:pPr>
        <w:contextualSpacing/>
        <w:rPr>
          <w:b/>
          <w:sz w:val="20"/>
          <w:szCs w:val="20"/>
        </w:rPr>
      </w:pPr>
      <w:r>
        <w:rPr>
          <w:b/>
          <w:sz w:val="20"/>
          <w:szCs w:val="20"/>
        </w:rPr>
        <w:t>Lockout/Tago</w:t>
      </w:r>
      <w:r w:rsidR="0030430C" w:rsidRPr="00282C18">
        <w:rPr>
          <w:b/>
          <w:sz w:val="20"/>
          <w:szCs w:val="20"/>
        </w:rPr>
        <w:t>ut Procedures</w:t>
      </w:r>
      <w:r w:rsidR="00544CFF">
        <w:rPr>
          <w:b/>
          <w:sz w:val="20"/>
          <w:szCs w:val="20"/>
        </w:rPr>
        <w:t xml:space="preserve"> (LOTO)</w:t>
      </w:r>
    </w:p>
    <w:p w14:paraId="10B38963" w14:textId="77777777" w:rsidR="0030430C" w:rsidRPr="0092015C" w:rsidRDefault="0030430C" w:rsidP="0030430C">
      <w:pPr>
        <w:contextualSpacing/>
        <w:rPr>
          <w:b/>
          <w:sz w:val="16"/>
          <w:szCs w:val="16"/>
        </w:rPr>
      </w:pPr>
    </w:p>
    <w:p w14:paraId="52AA5CC0" w14:textId="77777777" w:rsidR="0030430C" w:rsidRPr="00282C18" w:rsidRDefault="0030430C" w:rsidP="0030430C">
      <w:pPr>
        <w:contextualSpacing/>
        <w:jc w:val="both"/>
        <w:rPr>
          <w:sz w:val="20"/>
          <w:szCs w:val="20"/>
        </w:rPr>
      </w:pPr>
      <w:r w:rsidRPr="00282C18">
        <w:rPr>
          <w:sz w:val="20"/>
          <w:szCs w:val="20"/>
        </w:rPr>
        <w:t xml:space="preserve">Each person who could be exposed directly or indirectly to a source of electrical energy or other source shall be involved in the </w:t>
      </w:r>
      <w:r w:rsidR="00F25F5E">
        <w:rPr>
          <w:sz w:val="20"/>
          <w:szCs w:val="20"/>
        </w:rPr>
        <w:t>Lockout/Tago</w:t>
      </w:r>
      <w:r w:rsidRPr="00282C18">
        <w:rPr>
          <w:sz w:val="20"/>
          <w:szCs w:val="20"/>
        </w:rPr>
        <w:t>ut process. All persons who c</w:t>
      </w:r>
      <w:r w:rsidR="0092015C">
        <w:rPr>
          <w:sz w:val="20"/>
          <w:szCs w:val="20"/>
        </w:rPr>
        <w:t>ould be exposed shall have documented training</w:t>
      </w:r>
      <w:r w:rsidRPr="00282C18">
        <w:rPr>
          <w:sz w:val="20"/>
          <w:szCs w:val="20"/>
        </w:rPr>
        <w:t xml:space="preserve"> to understand</w:t>
      </w:r>
      <w:r w:rsidR="0092015C">
        <w:rPr>
          <w:sz w:val="20"/>
          <w:szCs w:val="20"/>
        </w:rPr>
        <w:t xml:space="preserve"> and demonstrate</w:t>
      </w:r>
      <w:r w:rsidRPr="00282C18">
        <w:rPr>
          <w:sz w:val="20"/>
          <w:szCs w:val="20"/>
        </w:rPr>
        <w:t xml:space="preserve"> the established procedure used to control the energy and their responsibility in executing the procedure.</w:t>
      </w:r>
      <w:r w:rsidR="0092015C">
        <w:rPr>
          <w:sz w:val="20"/>
          <w:szCs w:val="20"/>
        </w:rPr>
        <w:t xml:space="preserve"> This program will be inspected annually to make sure it is compliant and meeting our objectives.</w:t>
      </w:r>
    </w:p>
    <w:p w14:paraId="6CB51E05" w14:textId="77777777" w:rsidR="0030430C" w:rsidRPr="0092015C" w:rsidRDefault="0030430C" w:rsidP="0030430C">
      <w:pPr>
        <w:contextualSpacing/>
        <w:jc w:val="both"/>
        <w:rPr>
          <w:sz w:val="16"/>
          <w:szCs w:val="16"/>
        </w:rPr>
      </w:pPr>
    </w:p>
    <w:p w14:paraId="7B4D91B6" w14:textId="77777777" w:rsidR="0030430C" w:rsidRPr="00282C18" w:rsidRDefault="00EE0777" w:rsidP="0030430C">
      <w:pPr>
        <w:rPr>
          <w:b/>
          <w:i/>
          <w:sz w:val="20"/>
          <w:szCs w:val="20"/>
        </w:rPr>
      </w:pPr>
      <w:r>
        <w:rPr>
          <w:b/>
          <w:i/>
          <w:sz w:val="20"/>
          <w:szCs w:val="20"/>
        </w:rPr>
        <w:t>Simple Lockout/Tago</w:t>
      </w:r>
      <w:r w:rsidR="0030430C" w:rsidRPr="00282C18">
        <w:rPr>
          <w:b/>
          <w:i/>
          <w:sz w:val="20"/>
          <w:szCs w:val="20"/>
        </w:rPr>
        <w:t>ut</w:t>
      </w:r>
    </w:p>
    <w:p w14:paraId="69DBE289" w14:textId="77777777" w:rsidR="0030430C" w:rsidRPr="0092015C" w:rsidRDefault="0030430C" w:rsidP="0030430C">
      <w:pPr>
        <w:rPr>
          <w:b/>
          <w:sz w:val="16"/>
          <w:szCs w:val="16"/>
        </w:rPr>
      </w:pPr>
    </w:p>
    <w:p w14:paraId="338E7F82" w14:textId="77777777" w:rsidR="0030430C" w:rsidRPr="00282C18" w:rsidRDefault="00F25F5E" w:rsidP="0030430C">
      <w:pPr>
        <w:jc w:val="both"/>
        <w:rPr>
          <w:sz w:val="20"/>
          <w:szCs w:val="20"/>
        </w:rPr>
      </w:pPr>
      <w:r>
        <w:rPr>
          <w:sz w:val="20"/>
          <w:szCs w:val="20"/>
        </w:rPr>
        <w:t>All Lockout/Tago</w:t>
      </w:r>
      <w:r w:rsidR="0030430C" w:rsidRPr="00282C18">
        <w:rPr>
          <w:sz w:val="20"/>
          <w:szCs w:val="20"/>
        </w:rPr>
        <w:t xml:space="preserve">ut procedures that involve only a qualified person de-energizing one set of conductors, or circuit part source, for the sole purpose of safeguarding employees from exposure to electrical hazards shall be </w:t>
      </w:r>
      <w:r w:rsidR="00EE0777">
        <w:rPr>
          <w:sz w:val="20"/>
          <w:szCs w:val="20"/>
        </w:rPr>
        <w:t>considered to be a Simple Lockout/Tagout. Simple Lockout/Tago</w:t>
      </w:r>
      <w:r w:rsidR="0030430C" w:rsidRPr="00282C18">
        <w:rPr>
          <w:sz w:val="20"/>
          <w:szCs w:val="20"/>
        </w:rPr>
        <w:t>ut plans shall not be required to be written for each application. Each worker shall be responsible for his or her own lock and tag</w:t>
      </w:r>
      <w:r w:rsidR="003D2F12">
        <w:rPr>
          <w:sz w:val="20"/>
          <w:szCs w:val="20"/>
        </w:rPr>
        <w:t>. Simple Lockout/Tago</w:t>
      </w:r>
      <w:r w:rsidR="0030430C" w:rsidRPr="00282C18">
        <w:rPr>
          <w:sz w:val="20"/>
          <w:szCs w:val="20"/>
        </w:rPr>
        <w:t>ut plans cannot last for more than one work period (NFPA 70E).</w:t>
      </w:r>
    </w:p>
    <w:p w14:paraId="7CBE5A9E" w14:textId="77777777" w:rsidR="0030430C" w:rsidRPr="0092015C" w:rsidRDefault="0030430C" w:rsidP="0030430C">
      <w:pPr>
        <w:rPr>
          <w:sz w:val="16"/>
          <w:szCs w:val="16"/>
        </w:rPr>
      </w:pPr>
    </w:p>
    <w:p w14:paraId="2DA748AD" w14:textId="77777777" w:rsidR="0030430C" w:rsidRPr="00282C18" w:rsidRDefault="0030430C" w:rsidP="0030430C">
      <w:pPr>
        <w:rPr>
          <w:b/>
          <w:i/>
          <w:sz w:val="20"/>
          <w:szCs w:val="20"/>
        </w:rPr>
      </w:pPr>
      <w:r w:rsidRPr="00282C18">
        <w:rPr>
          <w:b/>
          <w:i/>
          <w:sz w:val="20"/>
          <w:szCs w:val="20"/>
        </w:rPr>
        <w:t>Complex Lock Out/Tag Out</w:t>
      </w:r>
    </w:p>
    <w:p w14:paraId="059BD045" w14:textId="77777777" w:rsidR="0030430C" w:rsidRPr="0092015C" w:rsidRDefault="0030430C" w:rsidP="0030430C">
      <w:pPr>
        <w:rPr>
          <w:b/>
          <w:sz w:val="16"/>
          <w:szCs w:val="16"/>
        </w:rPr>
      </w:pPr>
    </w:p>
    <w:p w14:paraId="45919C1E" w14:textId="77777777" w:rsidR="0030430C" w:rsidRPr="00282C18" w:rsidRDefault="0030430C" w:rsidP="003A39FB">
      <w:pPr>
        <w:numPr>
          <w:ilvl w:val="0"/>
          <w:numId w:val="9"/>
        </w:numPr>
        <w:ind w:left="1080"/>
        <w:contextualSpacing/>
        <w:jc w:val="both"/>
        <w:rPr>
          <w:sz w:val="20"/>
          <w:szCs w:val="20"/>
        </w:rPr>
      </w:pPr>
      <w:r w:rsidRPr="00282C18">
        <w:rPr>
          <w:sz w:val="20"/>
          <w:szCs w:val="20"/>
        </w:rPr>
        <w:t>A complex Lock Out/Tag Out plan shall be permitted where one or more of the following exist:</w:t>
      </w:r>
    </w:p>
    <w:p w14:paraId="7E1EF573" w14:textId="77777777" w:rsidR="0030430C" w:rsidRPr="0092015C" w:rsidRDefault="0030430C" w:rsidP="0030430C">
      <w:pPr>
        <w:ind w:left="1080"/>
        <w:contextualSpacing/>
        <w:jc w:val="both"/>
        <w:rPr>
          <w:sz w:val="16"/>
          <w:szCs w:val="16"/>
        </w:rPr>
      </w:pPr>
    </w:p>
    <w:p w14:paraId="04BB32B8" w14:textId="77777777" w:rsidR="0030430C" w:rsidRPr="00282C18" w:rsidRDefault="0030430C" w:rsidP="003A39FB">
      <w:pPr>
        <w:numPr>
          <w:ilvl w:val="1"/>
          <w:numId w:val="9"/>
        </w:numPr>
        <w:contextualSpacing/>
        <w:rPr>
          <w:sz w:val="20"/>
          <w:szCs w:val="20"/>
        </w:rPr>
      </w:pPr>
      <w:r w:rsidRPr="00282C18">
        <w:rPr>
          <w:sz w:val="20"/>
          <w:szCs w:val="20"/>
        </w:rPr>
        <w:t>Multiple energy sources</w:t>
      </w:r>
    </w:p>
    <w:p w14:paraId="1C956CBA" w14:textId="77777777" w:rsidR="0030430C" w:rsidRPr="00282C18" w:rsidRDefault="0030430C" w:rsidP="003A39FB">
      <w:pPr>
        <w:numPr>
          <w:ilvl w:val="1"/>
          <w:numId w:val="9"/>
        </w:numPr>
        <w:contextualSpacing/>
        <w:rPr>
          <w:sz w:val="20"/>
          <w:szCs w:val="20"/>
        </w:rPr>
      </w:pPr>
      <w:r w:rsidRPr="00282C18">
        <w:rPr>
          <w:sz w:val="20"/>
          <w:szCs w:val="20"/>
        </w:rPr>
        <w:t>Multiple crews</w:t>
      </w:r>
    </w:p>
    <w:p w14:paraId="2B78D1AC" w14:textId="77777777" w:rsidR="0030430C" w:rsidRPr="00282C18" w:rsidRDefault="0030430C" w:rsidP="003A39FB">
      <w:pPr>
        <w:numPr>
          <w:ilvl w:val="1"/>
          <w:numId w:val="9"/>
        </w:numPr>
        <w:contextualSpacing/>
        <w:rPr>
          <w:sz w:val="20"/>
          <w:szCs w:val="20"/>
        </w:rPr>
      </w:pPr>
      <w:r w:rsidRPr="00282C18">
        <w:rPr>
          <w:sz w:val="20"/>
          <w:szCs w:val="20"/>
        </w:rPr>
        <w:t>Multiple crafts</w:t>
      </w:r>
    </w:p>
    <w:p w14:paraId="55106C81" w14:textId="77777777" w:rsidR="0030430C" w:rsidRPr="00282C18" w:rsidRDefault="0030430C" w:rsidP="003A39FB">
      <w:pPr>
        <w:numPr>
          <w:ilvl w:val="1"/>
          <w:numId w:val="9"/>
        </w:numPr>
        <w:contextualSpacing/>
        <w:rPr>
          <w:sz w:val="20"/>
          <w:szCs w:val="20"/>
        </w:rPr>
      </w:pPr>
      <w:r w:rsidRPr="00282C18">
        <w:rPr>
          <w:sz w:val="20"/>
          <w:szCs w:val="20"/>
        </w:rPr>
        <w:t>Multiple locations</w:t>
      </w:r>
    </w:p>
    <w:p w14:paraId="721F7377" w14:textId="77777777" w:rsidR="0030430C" w:rsidRPr="00282C18" w:rsidRDefault="0030430C" w:rsidP="003A39FB">
      <w:pPr>
        <w:numPr>
          <w:ilvl w:val="1"/>
          <w:numId w:val="9"/>
        </w:numPr>
        <w:contextualSpacing/>
        <w:rPr>
          <w:sz w:val="20"/>
          <w:szCs w:val="20"/>
        </w:rPr>
      </w:pPr>
      <w:r w:rsidRPr="00282C18">
        <w:rPr>
          <w:sz w:val="20"/>
          <w:szCs w:val="20"/>
        </w:rPr>
        <w:t>Multiple employers</w:t>
      </w:r>
    </w:p>
    <w:p w14:paraId="3B9D9DEF" w14:textId="77777777" w:rsidR="0030430C" w:rsidRPr="00282C18" w:rsidRDefault="0030430C" w:rsidP="003A39FB">
      <w:pPr>
        <w:numPr>
          <w:ilvl w:val="1"/>
          <w:numId w:val="9"/>
        </w:numPr>
        <w:contextualSpacing/>
        <w:rPr>
          <w:sz w:val="20"/>
          <w:szCs w:val="20"/>
        </w:rPr>
      </w:pPr>
      <w:r w:rsidRPr="00282C18">
        <w:rPr>
          <w:sz w:val="20"/>
          <w:szCs w:val="20"/>
        </w:rPr>
        <w:t>Multiple disconnecting means</w:t>
      </w:r>
    </w:p>
    <w:p w14:paraId="28C09D7C" w14:textId="77777777" w:rsidR="0030430C" w:rsidRPr="00282C18" w:rsidRDefault="0030430C" w:rsidP="003A39FB">
      <w:pPr>
        <w:numPr>
          <w:ilvl w:val="1"/>
          <w:numId w:val="9"/>
        </w:numPr>
        <w:contextualSpacing/>
        <w:rPr>
          <w:sz w:val="20"/>
          <w:szCs w:val="20"/>
        </w:rPr>
      </w:pPr>
      <w:r w:rsidRPr="00282C18">
        <w:rPr>
          <w:sz w:val="20"/>
          <w:szCs w:val="20"/>
        </w:rPr>
        <w:t>Particular Sequences</w:t>
      </w:r>
    </w:p>
    <w:p w14:paraId="006678B7" w14:textId="77777777" w:rsidR="0030430C" w:rsidRPr="00282C18" w:rsidRDefault="0030430C" w:rsidP="003A39FB">
      <w:pPr>
        <w:numPr>
          <w:ilvl w:val="1"/>
          <w:numId w:val="9"/>
        </w:numPr>
        <w:contextualSpacing/>
        <w:rPr>
          <w:sz w:val="20"/>
          <w:szCs w:val="20"/>
        </w:rPr>
      </w:pPr>
      <w:r w:rsidRPr="00282C18">
        <w:rPr>
          <w:sz w:val="20"/>
          <w:szCs w:val="20"/>
        </w:rPr>
        <w:t>Job or task that continue</w:t>
      </w:r>
      <w:r w:rsidR="003D2F12">
        <w:rPr>
          <w:sz w:val="20"/>
          <w:szCs w:val="20"/>
        </w:rPr>
        <w:t>s for more than one work period</w:t>
      </w:r>
    </w:p>
    <w:p w14:paraId="7631AFB6" w14:textId="77777777" w:rsidR="0030430C" w:rsidRPr="0092015C" w:rsidRDefault="0030430C" w:rsidP="0030430C">
      <w:pPr>
        <w:ind w:left="1440"/>
        <w:contextualSpacing/>
        <w:rPr>
          <w:sz w:val="16"/>
          <w:szCs w:val="16"/>
        </w:rPr>
      </w:pPr>
    </w:p>
    <w:p w14:paraId="6B2ED1E7" w14:textId="77777777" w:rsidR="0030430C" w:rsidRPr="00282C18" w:rsidRDefault="003D2F12" w:rsidP="003A39FB">
      <w:pPr>
        <w:numPr>
          <w:ilvl w:val="0"/>
          <w:numId w:val="9"/>
        </w:numPr>
        <w:ind w:left="1080"/>
        <w:contextualSpacing/>
        <w:jc w:val="both"/>
        <w:rPr>
          <w:sz w:val="20"/>
          <w:szCs w:val="20"/>
        </w:rPr>
      </w:pPr>
      <w:r>
        <w:rPr>
          <w:sz w:val="20"/>
          <w:szCs w:val="20"/>
        </w:rPr>
        <w:t>All Complex Lockout/Tago</w:t>
      </w:r>
      <w:r w:rsidR="0030430C" w:rsidRPr="00282C18">
        <w:rPr>
          <w:sz w:val="20"/>
          <w:szCs w:val="20"/>
        </w:rPr>
        <w:t xml:space="preserve">ut procedures shall require a written plan of execution that identifies the person in charge. (Use the Complex LOTO in the </w:t>
      </w:r>
      <w:r w:rsidR="006059A7">
        <w:rPr>
          <w:sz w:val="20"/>
          <w:szCs w:val="20"/>
        </w:rPr>
        <w:t>A</w:t>
      </w:r>
      <w:r w:rsidR="0030430C" w:rsidRPr="00282C18">
        <w:rPr>
          <w:sz w:val="20"/>
          <w:szCs w:val="20"/>
        </w:rPr>
        <w:t>ppendix)</w:t>
      </w:r>
    </w:p>
    <w:p w14:paraId="7E376BA6" w14:textId="77777777" w:rsidR="0030430C" w:rsidRPr="00282C18" w:rsidRDefault="0030430C" w:rsidP="0030430C">
      <w:pPr>
        <w:ind w:left="1080"/>
        <w:contextualSpacing/>
        <w:jc w:val="both"/>
        <w:rPr>
          <w:sz w:val="16"/>
          <w:szCs w:val="16"/>
        </w:rPr>
      </w:pPr>
    </w:p>
    <w:p w14:paraId="2F29AC54" w14:textId="77777777" w:rsidR="0030430C" w:rsidRPr="00282C18" w:rsidRDefault="0030430C" w:rsidP="003A39FB">
      <w:pPr>
        <w:numPr>
          <w:ilvl w:val="0"/>
          <w:numId w:val="9"/>
        </w:numPr>
        <w:ind w:left="1080"/>
        <w:contextualSpacing/>
        <w:jc w:val="both"/>
        <w:rPr>
          <w:sz w:val="20"/>
          <w:szCs w:val="20"/>
        </w:rPr>
      </w:pPr>
      <w:r w:rsidRPr="00282C18">
        <w:rPr>
          <w:sz w:val="20"/>
          <w:szCs w:val="20"/>
        </w:rPr>
        <w:t>The Complex Lock</w:t>
      </w:r>
      <w:r w:rsidR="003D2F12">
        <w:rPr>
          <w:sz w:val="20"/>
          <w:szCs w:val="20"/>
        </w:rPr>
        <w:t>out/Tago</w:t>
      </w:r>
      <w:r w:rsidRPr="00282C18">
        <w:rPr>
          <w:sz w:val="20"/>
          <w:szCs w:val="20"/>
        </w:rPr>
        <w:t>ut procedure shall vest primary responsibility in an authorized and qualified employee for a set number of employees working under the prote</w:t>
      </w:r>
      <w:r w:rsidR="003D2F12">
        <w:rPr>
          <w:sz w:val="20"/>
          <w:szCs w:val="20"/>
        </w:rPr>
        <w:t>ction of a group lockout or tag</w:t>
      </w:r>
      <w:r w:rsidRPr="00282C18">
        <w:rPr>
          <w:sz w:val="20"/>
          <w:szCs w:val="20"/>
        </w:rPr>
        <w:t xml:space="preserve">out device(s), such as an operation lock. The qualified person shall be held accountable for </w:t>
      </w:r>
      <w:r w:rsidR="003D2F12">
        <w:rPr>
          <w:sz w:val="20"/>
          <w:szCs w:val="20"/>
        </w:rPr>
        <w:t>the safe execution of the Lockout/Tago</w:t>
      </w:r>
      <w:r w:rsidRPr="00282C18">
        <w:rPr>
          <w:sz w:val="20"/>
          <w:szCs w:val="20"/>
        </w:rPr>
        <w:t>ut.</w:t>
      </w:r>
    </w:p>
    <w:p w14:paraId="6CC4D114" w14:textId="77777777" w:rsidR="0030430C" w:rsidRPr="00CB1C65" w:rsidRDefault="0030430C" w:rsidP="0030430C">
      <w:pPr>
        <w:jc w:val="both"/>
        <w:rPr>
          <w:sz w:val="12"/>
          <w:szCs w:val="12"/>
        </w:rPr>
      </w:pPr>
    </w:p>
    <w:p w14:paraId="5595DFCE" w14:textId="77777777" w:rsidR="0092015C" w:rsidRPr="00CB1C65" w:rsidRDefault="0030430C" w:rsidP="00F97BE0">
      <w:pPr>
        <w:numPr>
          <w:ilvl w:val="0"/>
          <w:numId w:val="9"/>
        </w:numPr>
        <w:ind w:left="1080"/>
        <w:contextualSpacing/>
        <w:jc w:val="both"/>
        <w:rPr>
          <w:b/>
          <w:sz w:val="20"/>
          <w:szCs w:val="20"/>
        </w:rPr>
      </w:pPr>
      <w:r w:rsidRPr="00CB1C65">
        <w:rPr>
          <w:sz w:val="20"/>
          <w:szCs w:val="20"/>
        </w:rPr>
        <w:t xml:space="preserve">Each authorized employee shall </w:t>
      </w:r>
      <w:r w:rsidR="003D2F12">
        <w:rPr>
          <w:sz w:val="20"/>
          <w:szCs w:val="20"/>
        </w:rPr>
        <w:t>affix a personal lockout or tag</w:t>
      </w:r>
      <w:r w:rsidRPr="00CB1C65">
        <w:rPr>
          <w:sz w:val="20"/>
          <w:szCs w:val="20"/>
        </w:rPr>
        <w:t>out device to the group lockout device(s), group lockbox, or comparable mechanism(s) when he or she begins work and shall remove those devices when he or she stops working on the machine or equipment being serviced or maintained.</w:t>
      </w:r>
    </w:p>
    <w:p w14:paraId="71B7BF45" w14:textId="77777777" w:rsidR="0092015C" w:rsidRPr="00CB1C65" w:rsidRDefault="0092015C" w:rsidP="0030430C">
      <w:pPr>
        <w:jc w:val="both"/>
        <w:rPr>
          <w:b/>
          <w:sz w:val="12"/>
          <w:szCs w:val="12"/>
        </w:rPr>
      </w:pPr>
    </w:p>
    <w:p w14:paraId="3131A750" w14:textId="77777777" w:rsidR="00544CFF" w:rsidRDefault="00544CFF" w:rsidP="0030430C">
      <w:pPr>
        <w:jc w:val="both"/>
        <w:rPr>
          <w:b/>
          <w:sz w:val="20"/>
          <w:szCs w:val="20"/>
        </w:rPr>
      </w:pPr>
    </w:p>
    <w:p w14:paraId="58EC7B9B" w14:textId="77777777" w:rsidR="00544CFF" w:rsidRDefault="00544CFF" w:rsidP="0030430C">
      <w:pPr>
        <w:jc w:val="both"/>
        <w:rPr>
          <w:b/>
          <w:sz w:val="20"/>
          <w:szCs w:val="20"/>
        </w:rPr>
      </w:pPr>
    </w:p>
    <w:p w14:paraId="034ED775" w14:textId="77777777" w:rsidR="00544CFF" w:rsidRDefault="00544CFF" w:rsidP="0030430C">
      <w:pPr>
        <w:jc w:val="both"/>
        <w:rPr>
          <w:b/>
          <w:sz w:val="20"/>
          <w:szCs w:val="20"/>
        </w:rPr>
      </w:pPr>
    </w:p>
    <w:p w14:paraId="02AC576F" w14:textId="77777777" w:rsidR="00544CFF" w:rsidRDefault="00544CFF" w:rsidP="0030430C">
      <w:pPr>
        <w:jc w:val="both"/>
        <w:rPr>
          <w:b/>
          <w:sz w:val="20"/>
          <w:szCs w:val="20"/>
        </w:rPr>
      </w:pPr>
    </w:p>
    <w:p w14:paraId="28A2EC15" w14:textId="77777777" w:rsidR="00544CFF" w:rsidRDefault="00544CFF" w:rsidP="0030430C">
      <w:pPr>
        <w:jc w:val="both"/>
        <w:rPr>
          <w:b/>
          <w:sz w:val="20"/>
          <w:szCs w:val="20"/>
        </w:rPr>
      </w:pPr>
    </w:p>
    <w:p w14:paraId="0D47B94B" w14:textId="77777777" w:rsidR="00544CFF" w:rsidRDefault="00544CFF" w:rsidP="0030430C">
      <w:pPr>
        <w:jc w:val="both"/>
        <w:rPr>
          <w:b/>
          <w:sz w:val="20"/>
          <w:szCs w:val="20"/>
        </w:rPr>
      </w:pPr>
    </w:p>
    <w:p w14:paraId="139C3203" w14:textId="77777777" w:rsidR="0030430C" w:rsidRPr="00282C18" w:rsidRDefault="0030430C" w:rsidP="0030430C">
      <w:pPr>
        <w:jc w:val="both"/>
        <w:rPr>
          <w:b/>
          <w:sz w:val="20"/>
          <w:szCs w:val="20"/>
        </w:rPr>
      </w:pPr>
      <w:r w:rsidRPr="00282C18">
        <w:rPr>
          <w:b/>
          <w:sz w:val="20"/>
          <w:szCs w:val="20"/>
        </w:rPr>
        <w:t>De-energizing – Details</w:t>
      </w:r>
    </w:p>
    <w:p w14:paraId="6A3766AB" w14:textId="77777777" w:rsidR="0030430C" w:rsidRPr="0092015C" w:rsidRDefault="0030430C" w:rsidP="0030430C">
      <w:pPr>
        <w:jc w:val="both"/>
        <w:rPr>
          <w:b/>
          <w:sz w:val="16"/>
          <w:szCs w:val="16"/>
        </w:rPr>
      </w:pPr>
    </w:p>
    <w:p w14:paraId="6A6A9632" w14:textId="77777777" w:rsidR="0030430C" w:rsidRPr="00282C18" w:rsidRDefault="0030430C" w:rsidP="003A39FB">
      <w:pPr>
        <w:numPr>
          <w:ilvl w:val="0"/>
          <w:numId w:val="10"/>
        </w:numPr>
        <w:ind w:left="1080"/>
        <w:contextualSpacing/>
        <w:jc w:val="both"/>
        <w:rPr>
          <w:sz w:val="20"/>
          <w:szCs w:val="20"/>
        </w:rPr>
      </w:pPr>
      <w:r w:rsidRPr="00282C18">
        <w:rPr>
          <w:sz w:val="20"/>
          <w:szCs w:val="20"/>
        </w:rPr>
        <w:t>A det</w:t>
      </w:r>
      <w:r w:rsidR="003D2F12">
        <w:rPr>
          <w:sz w:val="20"/>
          <w:szCs w:val="20"/>
        </w:rPr>
        <w:t>ermination of the type of Lockout/Tago</w:t>
      </w:r>
      <w:r w:rsidRPr="00282C18">
        <w:rPr>
          <w:sz w:val="20"/>
          <w:szCs w:val="20"/>
        </w:rPr>
        <w:t>ut system to be used shall be made by the qualified person of the plan. All employees affected shall be notified and acknowledge</w:t>
      </w:r>
      <w:r w:rsidR="003D2F12">
        <w:rPr>
          <w:sz w:val="20"/>
          <w:szCs w:val="20"/>
        </w:rPr>
        <w:t>d</w:t>
      </w:r>
      <w:r w:rsidRPr="00282C18">
        <w:rPr>
          <w:sz w:val="20"/>
          <w:szCs w:val="20"/>
        </w:rPr>
        <w:t xml:space="preserve"> in writing the type of plan, who the qualified person in charge of the plan is and what procedures will be followed in implementing the plan. </w:t>
      </w:r>
    </w:p>
    <w:p w14:paraId="1610E178" w14:textId="77777777" w:rsidR="0030430C" w:rsidRPr="00CB1C65" w:rsidRDefault="0030430C" w:rsidP="0030430C">
      <w:pPr>
        <w:ind w:left="1080"/>
        <w:contextualSpacing/>
        <w:jc w:val="both"/>
        <w:rPr>
          <w:sz w:val="12"/>
          <w:szCs w:val="12"/>
        </w:rPr>
      </w:pPr>
    </w:p>
    <w:p w14:paraId="20A68240" w14:textId="77777777" w:rsidR="0030430C" w:rsidRPr="00282C18" w:rsidRDefault="0030430C" w:rsidP="003A39FB">
      <w:pPr>
        <w:numPr>
          <w:ilvl w:val="0"/>
          <w:numId w:val="10"/>
        </w:numPr>
        <w:ind w:left="1080"/>
        <w:contextualSpacing/>
        <w:jc w:val="both"/>
        <w:rPr>
          <w:sz w:val="20"/>
          <w:szCs w:val="20"/>
        </w:rPr>
      </w:pPr>
      <w:r w:rsidRPr="00282C18">
        <w:rPr>
          <w:sz w:val="20"/>
          <w:szCs w:val="20"/>
        </w:rPr>
        <w:t>If the electrical sy</w:t>
      </w:r>
      <w:r w:rsidR="003D2F12">
        <w:rPr>
          <w:sz w:val="20"/>
          <w:szCs w:val="20"/>
        </w:rPr>
        <w:t>stem is in an existing facility</w:t>
      </w:r>
      <w:r w:rsidRPr="00282C18">
        <w:rPr>
          <w:sz w:val="20"/>
          <w:szCs w:val="20"/>
        </w:rPr>
        <w:t xml:space="preserve"> and is energized, safe procedures and approval for de-energizing circuits and equipment shall be determined by the qualified and authorized p</w:t>
      </w:r>
      <w:r w:rsidR="003D2F12">
        <w:rPr>
          <w:sz w:val="20"/>
          <w:szCs w:val="20"/>
        </w:rPr>
        <w:t>erson in charge of the Lockout/Tago</w:t>
      </w:r>
      <w:r w:rsidRPr="00282C18">
        <w:rPr>
          <w:sz w:val="20"/>
          <w:szCs w:val="20"/>
        </w:rPr>
        <w:t>ut Plan before a circuit or piece of equipment is de-energized.</w:t>
      </w:r>
    </w:p>
    <w:p w14:paraId="2EDF99EF" w14:textId="77777777" w:rsidR="0030430C" w:rsidRPr="00CB1C65" w:rsidRDefault="0030430C" w:rsidP="0030430C">
      <w:pPr>
        <w:jc w:val="both"/>
        <w:rPr>
          <w:sz w:val="12"/>
          <w:szCs w:val="12"/>
        </w:rPr>
      </w:pPr>
    </w:p>
    <w:p w14:paraId="532120A4" w14:textId="77777777" w:rsidR="0030430C" w:rsidRPr="00282C18" w:rsidRDefault="0030430C" w:rsidP="003A39FB">
      <w:pPr>
        <w:numPr>
          <w:ilvl w:val="0"/>
          <w:numId w:val="10"/>
        </w:numPr>
        <w:ind w:left="1080"/>
        <w:contextualSpacing/>
        <w:jc w:val="both"/>
        <w:rPr>
          <w:sz w:val="20"/>
          <w:szCs w:val="20"/>
        </w:rPr>
      </w:pPr>
      <w:r w:rsidRPr="00282C18">
        <w:rPr>
          <w:sz w:val="20"/>
          <w:szCs w:val="20"/>
        </w:rPr>
        <w:t>The circuits and equipment to be worked on shall be disconnected from all electric energy sources.  Control circuit devices, such as push buttons, relays,</w:t>
      </w:r>
      <w:r w:rsidR="003D2F12">
        <w:rPr>
          <w:sz w:val="20"/>
          <w:szCs w:val="20"/>
        </w:rPr>
        <w:t xml:space="preserve"> dimmers, selector switches</w:t>
      </w:r>
      <w:r w:rsidRPr="00282C18">
        <w:rPr>
          <w:sz w:val="20"/>
          <w:szCs w:val="20"/>
        </w:rPr>
        <w:t xml:space="preserve"> and interlocks, may not be used as the sole means for de-energizing circuits or equipment.  Interlocks for electric equipment may not be</w:t>
      </w:r>
      <w:r w:rsidR="003D2F12">
        <w:rPr>
          <w:sz w:val="20"/>
          <w:szCs w:val="20"/>
        </w:rPr>
        <w:t xml:space="preserve"> used as a substitute for Lockout/Tago</w:t>
      </w:r>
      <w:r w:rsidRPr="00282C18">
        <w:rPr>
          <w:sz w:val="20"/>
          <w:szCs w:val="20"/>
        </w:rPr>
        <w:t>ut procedures.</w:t>
      </w:r>
    </w:p>
    <w:p w14:paraId="38EE23F9" w14:textId="77777777" w:rsidR="0030430C" w:rsidRPr="00CB1C65" w:rsidRDefault="0030430C" w:rsidP="0030430C">
      <w:pPr>
        <w:jc w:val="both"/>
        <w:rPr>
          <w:sz w:val="12"/>
          <w:szCs w:val="12"/>
        </w:rPr>
      </w:pPr>
    </w:p>
    <w:p w14:paraId="22E6CC9E" w14:textId="77777777" w:rsidR="0030430C" w:rsidRPr="00282C18" w:rsidRDefault="0030430C" w:rsidP="003A39FB">
      <w:pPr>
        <w:numPr>
          <w:ilvl w:val="0"/>
          <w:numId w:val="10"/>
        </w:numPr>
        <w:ind w:left="1080"/>
        <w:contextualSpacing/>
        <w:jc w:val="both"/>
        <w:rPr>
          <w:sz w:val="20"/>
          <w:szCs w:val="20"/>
        </w:rPr>
      </w:pPr>
      <w:r w:rsidRPr="00282C18">
        <w:rPr>
          <w:sz w:val="20"/>
          <w:szCs w:val="20"/>
        </w:rPr>
        <w:t>Stored electric energy, which might endanger personnel, shall be released.  Capacitors shall be discharged, and high capacitance elements shall be short-circuited and grounded.  These tasks are to be performed by qualified, competent and authorized persons.</w:t>
      </w:r>
    </w:p>
    <w:p w14:paraId="0B4495FB" w14:textId="77777777" w:rsidR="0030430C" w:rsidRPr="00CB1C65" w:rsidRDefault="0030430C" w:rsidP="0030430C">
      <w:pPr>
        <w:ind w:left="720"/>
        <w:jc w:val="both"/>
        <w:rPr>
          <w:sz w:val="12"/>
          <w:szCs w:val="12"/>
        </w:rPr>
      </w:pPr>
    </w:p>
    <w:p w14:paraId="613A63B9" w14:textId="77777777" w:rsidR="0030430C" w:rsidRPr="00282C18" w:rsidRDefault="0030430C" w:rsidP="0030430C">
      <w:pPr>
        <w:ind w:left="1080"/>
        <w:jc w:val="both"/>
        <w:rPr>
          <w:b/>
          <w:sz w:val="20"/>
          <w:szCs w:val="20"/>
        </w:rPr>
      </w:pPr>
      <w:r w:rsidRPr="00282C18">
        <w:rPr>
          <w:b/>
          <w:sz w:val="20"/>
          <w:szCs w:val="20"/>
        </w:rPr>
        <w:t>Note: If the capacitors or associated equipment are handled in meeting this requirement, they shall be treated as energized.</w:t>
      </w:r>
    </w:p>
    <w:p w14:paraId="18108A20" w14:textId="77777777" w:rsidR="0030430C" w:rsidRPr="00CB1C65" w:rsidRDefault="0030430C" w:rsidP="0030430C">
      <w:pPr>
        <w:ind w:left="720"/>
        <w:jc w:val="both"/>
        <w:rPr>
          <w:b/>
          <w:sz w:val="12"/>
          <w:szCs w:val="12"/>
        </w:rPr>
      </w:pPr>
    </w:p>
    <w:p w14:paraId="4D8F9FE7" w14:textId="77777777" w:rsidR="0030430C" w:rsidRPr="00282C18" w:rsidRDefault="0030430C" w:rsidP="003A39FB">
      <w:pPr>
        <w:numPr>
          <w:ilvl w:val="0"/>
          <w:numId w:val="10"/>
        </w:numPr>
        <w:ind w:left="1170"/>
        <w:contextualSpacing/>
        <w:jc w:val="both"/>
        <w:rPr>
          <w:sz w:val="20"/>
          <w:szCs w:val="20"/>
        </w:rPr>
      </w:pPr>
      <w:r w:rsidRPr="00282C18">
        <w:rPr>
          <w:sz w:val="20"/>
          <w:szCs w:val="20"/>
        </w:rPr>
        <w:t>Stored non-electrical energy in devices that could reenergize electric circuit parts shall be blocked or relieved to the extent that the circuit parts could not be accidentally re-energized by the device.</w:t>
      </w:r>
    </w:p>
    <w:p w14:paraId="19F63630" w14:textId="77777777" w:rsidR="0030430C" w:rsidRPr="00CB1C65" w:rsidRDefault="0030430C" w:rsidP="0030430C">
      <w:pPr>
        <w:ind w:left="810"/>
        <w:jc w:val="both"/>
        <w:rPr>
          <w:sz w:val="12"/>
          <w:szCs w:val="12"/>
        </w:rPr>
      </w:pPr>
    </w:p>
    <w:p w14:paraId="15899E0A" w14:textId="77777777" w:rsidR="0030430C" w:rsidRPr="00282C18" w:rsidRDefault="0030430C" w:rsidP="003A39FB">
      <w:pPr>
        <w:numPr>
          <w:ilvl w:val="0"/>
          <w:numId w:val="10"/>
        </w:numPr>
        <w:ind w:left="1170"/>
        <w:contextualSpacing/>
        <w:jc w:val="both"/>
        <w:rPr>
          <w:sz w:val="20"/>
          <w:szCs w:val="20"/>
        </w:rPr>
      </w:pPr>
      <w:r w:rsidRPr="00282C18">
        <w:rPr>
          <w:sz w:val="20"/>
          <w:szCs w:val="20"/>
        </w:rPr>
        <w:t>A lock and a tag shall be placed on each disconnecting means used to de-energize circuits and equipment on which work is to be performed.</w:t>
      </w:r>
    </w:p>
    <w:p w14:paraId="5B80ADDD" w14:textId="77777777" w:rsidR="0030430C" w:rsidRPr="00CB1C65" w:rsidRDefault="0030430C" w:rsidP="0030430C">
      <w:pPr>
        <w:pStyle w:val="ListParagraph"/>
        <w:rPr>
          <w:sz w:val="12"/>
          <w:szCs w:val="12"/>
        </w:rPr>
      </w:pPr>
    </w:p>
    <w:p w14:paraId="729AD505" w14:textId="77777777" w:rsidR="0030430C" w:rsidRPr="00282C18" w:rsidRDefault="0030430C" w:rsidP="003A39FB">
      <w:pPr>
        <w:numPr>
          <w:ilvl w:val="0"/>
          <w:numId w:val="10"/>
        </w:numPr>
        <w:ind w:left="1170"/>
        <w:contextualSpacing/>
        <w:jc w:val="both"/>
        <w:rPr>
          <w:sz w:val="20"/>
          <w:szCs w:val="20"/>
        </w:rPr>
      </w:pPr>
      <w:r w:rsidRPr="00282C18">
        <w:rPr>
          <w:sz w:val="20"/>
          <w:szCs w:val="20"/>
        </w:rPr>
        <w:t>A qualified person shall</w:t>
      </w:r>
      <w:r w:rsidR="003D2F12">
        <w:rPr>
          <w:sz w:val="20"/>
          <w:szCs w:val="20"/>
        </w:rPr>
        <w:t xml:space="preserve"> operate the equipment controls</w:t>
      </w:r>
      <w:r w:rsidRPr="00282C18">
        <w:rPr>
          <w:sz w:val="20"/>
          <w:szCs w:val="20"/>
        </w:rPr>
        <w:t xml:space="preserve"> or otherwise verify that the equipment cannot be restarted.</w:t>
      </w:r>
    </w:p>
    <w:p w14:paraId="38EB0393" w14:textId="77777777" w:rsidR="0030430C" w:rsidRPr="00CB1C65" w:rsidRDefault="0030430C" w:rsidP="0030430C">
      <w:pPr>
        <w:jc w:val="both"/>
        <w:rPr>
          <w:sz w:val="12"/>
          <w:szCs w:val="12"/>
        </w:rPr>
      </w:pPr>
    </w:p>
    <w:p w14:paraId="2AF4E177" w14:textId="77777777" w:rsidR="0030430C" w:rsidRPr="00282C18" w:rsidRDefault="0030430C" w:rsidP="003A39FB">
      <w:pPr>
        <w:numPr>
          <w:ilvl w:val="0"/>
          <w:numId w:val="10"/>
        </w:numPr>
        <w:ind w:left="1170"/>
        <w:contextualSpacing/>
        <w:jc w:val="both"/>
        <w:rPr>
          <w:sz w:val="20"/>
          <w:szCs w:val="20"/>
        </w:rPr>
      </w:pPr>
      <w:r w:rsidRPr="00282C18">
        <w:rPr>
          <w:sz w:val="20"/>
          <w:szCs w:val="20"/>
        </w:rPr>
        <w:t xml:space="preserve">A qualified and authorized person shall use reliable test equipment to verify the circuit elements and electrical parts of equipment to </w:t>
      </w:r>
      <w:r w:rsidR="003D2F12">
        <w:rPr>
          <w:sz w:val="20"/>
          <w:szCs w:val="20"/>
        </w:rPr>
        <w:t>which employees will be exposed</w:t>
      </w:r>
      <w:r w:rsidRPr="00282C18">
        <w:rPr>
          <w:sz w:val="20"/>
          <w:szCs w:val="20"/>
        </w:rPr>
        <w:t xml:space="preserve"> and shall verify that the circuit elements and equipment parts are de-energized.  The verification shall also determine if any energized condition exists as a result of inadvertently induced voltage or unrelated voltage back feed even though specific parts of the circuit have been de-energized and locked out.</w:t>
      </w:r>
    </w:p>
    <w:p w14:paraId="0F7A5B83" w14:textId="77777777" w:rsidR="0030430C" w:rsidRPr="00282C18" w:rsidRDefault="0030430C" w:rsidP="0030430C">
      <w:pPr>
        <w:rPr>
          <w:b/>
          <w:sz w:val="20"/>
          <w:szCs w:val="20"/>
        </w:rPr>
      </w:pPr>
      <w:r w:rsidRPr="00282C18">
        <w:rPr>
          <w:b/>
          <w:sz w:val="20"/>
          <w:szCs w:val="20"/>
        </w:rPr>
        <w:br w:type="page"/>
      </w:r>
    </w:p>
    <w:p w14:paraId="64157CCA" w14:textId="77777777" w:rsidR="0030430C" w:rsidRPr="00282C18" w:rsidRDefault="0030430C" w:rsidP="0030430C">
      <w:pPr>
        <w:contextualSpacing/>
        <w:jc w:val="both"/>
        <w:rPr>
          <w:b/>
          <w:sz w:val="20"/>
          <w:szCs w:val="20"/>
        </w:rPr>
      </w:pPr>
      <w:r w:rsidRPr="00282C18">
        <w:rPr>
          <w:b/>
          <w:sz w:val="20"/>
          <w:szCs w:val="20"/>
        </w:rPr>
        <w:lastRenderedPageBreak/>
        <w:t>General Rules for Locks and Tags</w:t>
      </w:r>
    </w:p>
    <w:p w14:paraId="2761472C" w14:textId="77777777" w:rsidR="0030430C" w:rsidRPr="00282C18" w:rsidRDefault="0030430C" w:rsidP="0030430C">
      <w:pPr>
        <w:contextualSpacing/>
        <w:jc w:val="both"/>
        <w:rPr>
          <w:b/>
          <w:sz w:val="20"/>
          <w:szCs w:val="20"/>
        </w:rPr>
      </w:pPr>
    </w:p>
    <w:p w14:paraId="59F42B24" w14:textId="77777777" w:rsidR="0030430C" w:rsidRPr="00282C18" w:rsidRDefault="0030430C" w:rsidP="003A39FB">
      <w:pPr>
        <w:numPr>
          <w:ilvl w:val="0"/>
          <w:numId w:val="11"/>
        </w:numPr>
        <w:ind w:left="1080"/>
        <w:contextualSpacing/>
        <w:jc w:val="both"/>
        <w:rPr>
          <w:sz w:val="20"/>
          <w:szCs w:val="20"/>
        </w:rPr>
      </w:pPr>
      <w:r w:rsidRPr="00282C18">
        <w:rPr>
          <w:sz w:val="20"/>
          <w:szCs w:val="20"/>
        </w:rPr>
        <w:t>Each tag shall contain a statement prohibiting unauthorized operation of the disconnecting means or removal of the tag.</w:t>
      </w:r>
    </w:p>
    <w:p w14:paraId="0727DAD9" w14:textId="77777777" w:rsidR="0030430C" w:rsidRPr="00282C18" w:rsidRDefault="0030430C" w:rsidP="0030430C">
      <w:pPr>
        <w:jc w:val="both"/>
        <w:rPr>
          <w:sz w:val="20"/>
          <w:szCs w:val="20"/>
        </w:rPr>
      </w:pPr>
    </w:p>
    <w:p w14:paraId="1F037759" w14:textId="77777777" w:rsidR="0030430C" w:rsidRPr="00282C18" w:rsidRDefault="0030430C" w:rsidP="003A39FB">
      <w:pPr>
        <w:numPr>
          <w:ilvl w:val="0"/>
          <w:numId w:val="11"/>
        </w:numPr>
        <w:ind w:left="1080"/>
        <w:contextualSpacing/>
        <w:jc w:val="both"/>
        <w:rPr>
          <w:sz w:val="20"/>
          <w:szCs w:val="20"/>
        </w:rPr>
      </w:pPr>
      <w:r w:rsidRPr="00282C18">
        <w:rPr>
          <w:sz w:val="20"/>
          <w:szCs w:val="20"/>
        </w:rPr>
        <w:t xml:space="preserve">If an individual lock cannot be applied, other procedures must be employed that will provide a level of safety equivalent to that obtained by the use of an individual lock. A tag may not be used without an individual lock unless other procedures are followed that provide equivalent level of safety to that of an individual lock. </w:t>
      </w:r>
    </w:p>
    <w:p w14:paraId="630653DE" w14:textId="77777777" w:rsidR="0030430C" w:rsidRPr="00282C18" w:rsidRDefault="0030430C" w:rsidP="0030430C">
      <w:pPr>
        <w:pStyle w:val="ListParagraph"/>
        <w:rPr>
          <w:sz w:val="20"/>
          <w:szCs w:val="20"/>
        </w:rPr>
      </w:pPr>
    </w:p>
    <w:p w14:paraId="04CC50E1" w14:textId="77777777" w:rsidR="0030430C" w:rsidRPr="00282C18" w:rsidRDefault="0030430C" w:rsidP="003A39FB">
      <w:pPr>
        <w:numPr>
          <w:ilvl w:val="0"/>
          <w:numId w:val="11"/>
        </w:numPr>
        <w:ind w:left="1080"/>
        <w:contextualSpacing/>
        <w:jc w:val="both"/>
        <w:rPr>
          <w:sz w:val="20"/>
          <w:szCs w:val="20"/>
        </w:rPr>
      </w:pPr>
      <w:r w:rsidRPr="00282C18">
        <w:rPr>
          <w:sz w:val="20"/>
          <w:szCs w:val="20"/>
        </w:rPr>
        <w:t>A lock may never be used without a tag.</w:t>
      </w:r>
    </w:p>
    <w:p w14:paraId="2D478A6D" w14:textId="77777777" w:rsidR="0030430C" w:rsidRPr="00282C18" w:rsidRDefault="0030430C" w:rsidP="0030430C">
      <w:pPr>
        <w:jc w:val="both"/>
        <w:rPr>
          <w:sz w:val="20"/>
          <w:szCs w:val="20"/>
        </w:rPr>
      </w:pPr>
    </w:p>
    <w:p w14:paraId="2C964467" w14:textId="77777777" w:rsidR="0030430C" w:rsidRPr="00282C18" w:rsidRDefault="0030430C" w:rsidP="0030430C">
      <w:pPr>
        <w:jc w:val="both"/>
        <w:rPr>
          <w:sz w:val="20"/>
          <w:szCs w:val="20"/>
        </w:rPr>
      </w:pPr>
    </w:p>
    <w:p w14:paraId="1BCADDDD" w14:textId="77777777" w:rsidR="0030430C" w:rsidRPr="00282C18" w:rsidRDefault="0030430C" w:rsidP="0030430C">
      <w:pPr>
        <w:jc w:val="both"/>
        <w:rPr>
          <w:b/>
          <w:sz w:val="20"/>
          <w:szCs w:val="20"/>
        </w:rPr>
      </w:pPr>
      <w:r w:rsidRPr="00282C18">
        <w:rPr>
          <w:b/>
          <w:sz w:val="20"/>
          <w:szCs w:val="20"/>
        </w:rPr>
        <w:t>Re-energizing</w:t>
      </w:r>
    </w:p>
    <w:p w14:paraId="50AE34D6" w14:textId="77777777" w:rsidR="0030430C" w:rsidRPr="00282C18" w:rsidRDefault="0030430C" w:rsidP="0030430C">
      <w:pPr>
        <w:jc w:val="both"/>
        <w:rPr>
          <w:b/>
          <w:sz w:val="20"/>
          <w:szCs w:val="20"/>
        </w:rPr>
      </w:pPr>
    </w:p>
    <w:p w14:paraId="462DCF82" w14:textId="77777777" w:rsidR="0030430C" w:rsidRPr="00282C18" w:rsidRDefault="0030430C" w:rsidP="003A39FB">
      <w:pPr>
        <w:numPr>
          <w:ilvl w:val="0"/>
          <w:numId w:val="12"/>
        </w:numPr>
        <w:ind w:left="1080"/>
        <w:contextualSpacing/>
        <w:jc w:val="both"/>
        <w:rPr>
          <w:sz w:val="20"/>
          <w:szCs w:val="20"/>
        </w:rPr>
      </w:pPr>
      <w:r w:rsidRPr="00282C18">
        <w:rPr>
          <w:sz w:val="20"/>
          <w:szCs w:val="20"/>
        </w:rPr>
        <w:t>Qualified and authorized person(s) shall conduct verification and visual inspections, as necessary, to confirm that all tools, electrical jumpers, shorts, grounds and other such devices have been removed, that all new components have been installed proper</w:t>
      </w:r>
      <w:r w:rsidR="00334627">
        <w:rPr>
          <w:sz w:val="20"/>
          <w:szCs w:val="20"/>
        </w:rPr>
        <w:t>ly</w:t>
      </w:r>
      <w:r w:rsidRPr="00282C18">
        <w:rPr>
          <w:sz w:val="20"/>
          <w:szCs w:val="20"/>
        </w:rPr>
        <w:t xml:space="preserve"> or that any new conductors have been terminated, tested, torqued and tagged so that the circuits and equipment can be safely energized. This requires a visual inspection of all new and existing circuit components. </w:t>
      </w:r>
    </w:p>
    <w:p w14:paraId="667E78EE" w14:textId="77777777" w:rsidR="0030430C" w:rsidRPr="00282C18" w:rsidRDefault="0030430C" w:rsidP="0030430C">
      <w:pPr>
        <w:ind w:left="1080"/>
        <w:contextualSpacing/>
        <w:jc w:val="both"/>
        <w:rPr>
          <w:sz w:val="20"/>
          <w:szCs w:val="20"/>
        </w:rPr>
      </w:pPr>
    </w:p>
    <w:p w14:paraId="1CF21FF9" w14:textId="77777777" w:rsidR="0030430C" w:rsidRPr="00282C18" w:rsidRDefault="0030430C" w:rsidP="003A39FB">
      <w:pPr>
        <w:numPr>
          <w:ilvl w:val="0"/>
          <w:numId w:val="12"/>
        </w:numPr>
        <w:ind w:left="1080"/>
        <w:contextualSpacing/>
        <w:jc w:val="both"/>
        <w:rPr>
          <w:sz w:val="20"/>
          <w:szCs w:val="20"/>
        </w:rPr>
      </w:pPr>
      <w:r w:rsidRPr="00282C18">
        <w:rPr>
          <w:sz w:val="20"/>
          <w:szCs w:val="20"/>
        </w:rPr>
        <w:t>Employees exposed to the hazards associated with re-energizing the circuit or equipment shall be warned to stay clear of circuits and equipment.</w:t>
      </w:r>
    </w:p>
    <w:p w14:paraId="0FC16150" w14:textId="77777777" w:rsidR="0030430C" w:rsidRPr="00282C18" w:rsidRDefault="0030430C" w:rsidP="0030430C">
      <w:pPr>
        <w:jc w:val="both"/>
        <w:rPr>
          <w:sz w:val="20"/>
          <w:szCs w:val="20"/>
        </w:rPr>
      </w:pPr>
    </w:p>
    <w:p w14:paraId="08BEE2FA" w14:textId="77777777" w:rsidR="0030430C" w:rsidRPr="00282C18" w:rsidRDefault="0030430C" w:rsidP="003A39FB">
      <w:pPr>
        <w:numPr>
          <w:ilvl w:val="0"/>
          <w:numId w:val="12"/>
        </w:numPr>
        <w:ind w:left="1080"/>
        <w:contextualSpacing/>
        <w:jc w:val="both"/>
        <w:rPr>
          <w:sz w:val="20"/>
          <w:szCs w:val="20"/>
        </w:rPr>
      </w:pPr>
      <w:r w:rsidRPr="00282C18">
        <w:rPr>
          <w:sz w:val="20"/>
          <w:szCs w:val="20"/>
        </w:rPr>
        <w:t>Each lock and tag shall be removed by the authorized person who applied it, u</w:t>
      </w:r>
      <w:r w:rsidR="00334627">
        <w:rPr>
          <w:sz w:val="20"/>
          <w:szCs w:val="20"/>
        </w:rPr>
        <w:t>nder his/her direct supervision</w:t>
      </w:r>
      <w:r w:rsidRPr="00282C18">
        <w:rPr>
          <w:sz w:val="20"/>
          <w:szCs w:val="20"/>
        </w:rPr>
        <w:t xml:space="preserve"> or by the qualified and authorized person in overall charge of the Lock </w:t>
      </w:r>
      <w:r w:rsidR="00334627">
        <w:rPr>
          <w:sz w:val="20"/>
          <w:szCs w:val="20"/>
        </w:rPr>
        <w:t>out/Tago</w:t>
      </w:r>
      <w:r w:rsidRPr="00282C18">
        <w:rPr>
          <w:sz w:val="20"/>
          <w:szCs w:val="20"/>
        </w:rPr>
        <w:t xml:space="preserve">ut. </w:t>
      </w:r>
      <w:r w:rsidR="00676E3B">
        <w:rPr>
          <w:sz w:val="20"/>
          <w:szCs w:val="20"/>
        </w:rPr>
        <w:t>I</w:t>
      </w:r>
      <w:r w:rsidRPr="00282C18">
        <w:rPr>
          <w:sz w:val="20"/>
          <w:szCs w:val="20"/>
        </w:rPr>
        <w:t xml:space="preserve">f that qualified and </w:t>
      </w:r>
      <w:proofErr w:type="gramStart"/>
      <w:r w:rsidRPr="00282C18">
        <w:rPr>
          <w:sz w:val="20"/>
          <w:szCs w:val="20"/>
        </w:rPr>
        <w:t>authorized  person</w:t>
      </w:r>
      <w:proofErr w:type="gramEnd"/>
      <w:r w:rsidRPr="00282C18">
        <w:rPr>
          <w:sz w:val="20"/>
          <w:szCs w:val="20"/>
        </w:rPr>
        <w:t xml:space="preserve"> is absent from the workplace, then the lock or tag may be removed by another qualified and authorized person designated to perform this task provided that:</w:t>
      </w:r>
    </w:p>
    <w:p w14:paraId="1E164B0B" w14:textId="77777777" w:rsidR="0030430C" w:rsidRPr="00282C18" w:rsidRDefault="0030430C" w:rsidP="0030430C">
      <w:pPr>
        <w:jc w:val="both"/>
        <w:rPr>
          <w:sz w:val="20"/>
          <w:szCs w:val="20"/>
        </w:rPr>
      </w:pPr>
    </w:p>
    <w:p w14:paraId="58499DA4" w14:textId="77777777" w:rsidR="0030430C" w:rsidRPr="00282C18" w:rsidRDefault="00676E3B" w:rsidP="003A39FB">
      <w:pPr>
        <w:numPr>
          <w:ilvl w:val="2"/>
          <w:numId w:val="12"/>
        </w:numPr>
        <w:contextualSpacing/>
        <w:jc w:val="both"/>
        <w:rPr>
          <w:sz w:val="20"/>
          <w:szCs w:val="20"/>
        </w:rPr>
      </w:pPr>
      <w:r>
        <w:rPr>
          <w:sz w:val="20"/>
          <w:szCs w:val="20"/>
        </w:rPr>
        <w:t xml:space="preserve">The supervisor ensures </w:t>
      </w:r>
      <w:r w:rsidR="0030430C" w:rsidRPr="00282C18">
        <w:rPr>
          <w:sz w:val="20"/>
          <w:szCs w:val="20"/>
        </w:rPr>
        <w:t>the qualified person who applied the lock or tag is not available at the workplace</w:t>
      </w:r>
      <w:r w:rsidR="006059A7">
        <w:rPr>
          <w:sz w:val="20"/>
          <w:szCs w:val="20"/>
        </w:rPr>
        <w:t>.</w:t>
      </w:r>
    </w:p>
    <w:p w14:paraId="1B3182B5" w14:textId="77777777" w:rsidR="0030430C" w:rsidRPr="00282C18" w:rsidRDefault="0030430C" w:rsidP="0030430C">
      <w:pPr>
        <w:ind w:left="2160"/>
        <w:contextualSpacing/>
        <w:jc w:val="both"/>
        <w:rPr>
          <w:sz w:val="20"/>
          <w:szCs w:val="20"/>
        </w:rPr>
      </w:pPr>
    </w:p>
    <w:p w14:paraId="55702355" w14:textId="77777777" w:rsidR="0030430C" w:rsidRPr="00282C18" w:rsidRDefault="0030430C" w:rsidP="00D840DA">
      <w:pPr>
        <w:numPr>
          <w:ilvl w:val="2"/>
          <w:numId w:val="12"/>
        </w:numPr>
        <w:ind w:left="2174" w:hanging="187"/>
        <w:contextualSpacing/>
        <w:jc w:val="both"/>
        <w:rPr>
          <w:b/>
          <w:snapToGrid w:val="0"/>
          <w:sz w:val="20"/>
          <w:szCs w:val="20"/>
          <w:u w:val="single"/>
        </w:rPr>
      </w:pPr>
      <w:r w:rsidRPr="00282C18">
        <w:rPr>
          <w:sz w:val="20"/>
          <w:szCs w:val="20"/>
        </w:rPr>
        <w:t>The supervisor ensures the original installing person is aware that the lock or tag has been removed before he/she resumes work at that workplace.</w:t>
      </w:r>
    </w:p>
    <w:sectPr w:rsidR="0030430C" w:rsidRPr="00282C18" w:rsidSect="00D840DA">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F800" w14:textId="77777777" w:rsidR="00184578" w:rsidRDefault="00184578">
      <w:r>
        <w:separator/>
      </w:r>
    </w:p>
  </w:endnote>
  <w:endnote w:type="continuationSeparator" w:id="0">
    <w:p w14:paraId="7EE6FE4A" w14:textId="77777777" w:rsidR="00184578" w:rsidRDefault="0018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A12" w14:textId="6C259E70" w:rsidR="00000000" w:rsidRDefault="00D840DA">
    <w:pPr>
      <w:pStyle w:val="Footer"/>
      <w:jc w:val="center"/>
      <w:rPr>
        <w:rFonts w:ascii="Book Antiqua" w:hAnsi="Book Antiqua"/>
        <w:snapToGrid w:val="0"/>
        <w:sz w:val="22"/>
      </w:rPr>
    </w:pPr>
    <w:r w:rsidRPr="00D840DA">
      <w:rPr>
        <w:rFonts w:ascii="Book Antiqua" w:hAnsi="Book Antiqua"/>
        <w:noProof/>
        <w:snapToGrid w:val="0"/>
        <w:sz w:val="22"/>
      </w:rPr>
      <w:drawing>
        <wp:inline distT="0" distB="0" distL="0" distR="0" wp14:anchorId="70FC40F3" wp14:editId="576320A5">
          <wp:extent cx="1851660" cy="431165"/>
          <wp:effectExtent l="0" t="0" r="0" b="6985"/>
          <wp:docPr id="333610986" name="Picture 333610986"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349" cy="431325"/>
                  </a:xfrm>
                  <a:prstGeom prst="rect">
                    <a:avLst/>
                  </a:prstGeom>
                  <a:noFill/>
                  <a:ln>
                    <a:noFill/>
                  </a:ln>
                </pic:spPr>
              </pic:pic>
            </a:graphicData>
          </a:graphic>
        </wp:inline>
      </w:drawing>
    </w:r>
    <w:r w:rsidRPr="00D840DA">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185493B4">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755578F" w14:textId="77777777" w:rsidR="00D840DA" w:rsidRDefault="00821206">
                                <w:pPr>
                                  <w:jc w:val="right"/>
                                  <w:rPr>
                                    <w:color w:val="7F7F7F" w:themeColor="text1" w:themeTint="80"/>
                                  </w:rPr>
                                </w:pPr>
                                <w:r>
                                  <w:rPr>
                                    <w:color w:val="7F7F7F" w:themeColor="text1" w:themeTint="80"/>
                                    <w:sz w:val="28"/>
                                    <w:szCs w:val="28"/>
                                  </w:rPr>
                                  <w:t>23</w:t>
                                </w:r>
                              </w:p>
                            </w:sdtContent>
                          </w:sdt>
                          <w:p w14:paraId="400CD467" w14:textId="77777777" w:rsidR="00D840DA" w:rsidRDefault="00D840D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85493B4"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755578F" w14:textId="77777777" w:rsidR="00D840DA" w:rsidRDefault="00821206">
                          <w:pPr>
                            <w:jc w:val="right"/>
                            <w:rPr>
                              <w:color w:val="7F7F7F" w:themeColor="text1" w:themeTint="80"/>
                            </w:rPr>
                          </w:pPr>
                          <w:r>
                            <w:rPr>
                              <w:color w:val="7F7F7F" w:themeColor="text1" w:themeTint="80"/>
                              <w:sz w:val="28"/>
                              <w:szCs w:val="28"/>
                            </w:rPr>
                            <w:t>23</w:t>
                          </w:r>
                        </w:p>
                      </w:sdtContent>
                    </w:sdt>
                    <w:p w14:paraId="400CD467" w14:textId="77777777" w:rsidR="00D840DA" w:rsidRDefault="00D840DA">
                      <w:pPr>
                        <w:jc w:val="right"/>
                        <w:rPr>
                          <w:color w:val="808080" w:themeColor="background1" w:themeShade="80"/>
                        </w:rPr>
                      </w:pPr>
                    </w:p>
                  </w:txbxContent>
                </v:textbox>
              </v:shape>
              <w10:wrap type="square" anchorx="margin" anchory="margin"/>
            </v:group>
          </w:pict>
        </mc:Fallback>
      </mc:AlternateContent>
    </w:r>
    <w:r w:rsidRPr="00D840DA">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7FB329BE">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85479" w14:textId="77777777" w:rsidR="00D840DA" w:rsidRDefault="00D840D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76E3B">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29BE"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5485479" w14:textId="77777777" w:rsidR="00D840DA" w:rsidRDefault="00D840D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76E3B">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391E0D">
      <w:rPr>
        <w:rFonts w:ascii="Book Antiqua" w:hAnsi="Book Antiqua"/>
        <w:snapToGrid w:val="0"/>
        <w:sz w:val="22"/>
      </w:rPr>
      <w:t xml:space="preserve">   </w:t>
    </w:r>
    <w:r w:rsidR="00391E0D">
      <w:rPr>
        <w:rFonts w:ascii="Book Antiqua" w:hAnsi="Book Antiqua"/>
        <w:noProof/>
        <w:snapToGrid w:val="0"/>
        <w:sz w:val="22"/>
      </w:rPr>
      <w:drawing>
        <wp:inline distT="0" distB="0" distL="0" distR="0" wp14:anchorId="55648763" wp14:editId="0D99A367">
          <wp:extent cx="1836420" cy="535399"/>
          <wp:effectExtent l="0" t="0" r="0" b="0"/>
          <wp:docPr id="1200447797" name="Picture 120044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175" cy="5379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6261" w14:textId="77777777" w:rsidR="00184578" w:rsidRDefault="00184578">
      <w:r>
        <w:separator/>
      </w:r>
    </w:p>
  </w:footnote>
  <w:footnote w:type="continuationSeparator" w:id="0">
    <w:p w14:paraId="442E344E" w14:textId="77777777" w:rsidR="00184578" w:rsidRDefault="0018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9073" w14:textId="77777777" w:rsidR="00000000" w:rsidRDefault="00544CFF" w:rsidP="00F431DA">
    <w:pPr>
      <w:keepNext/>
      <w:outlineLvl w:val="2"/>
    </w:pPr>
    <w:r>
      <w:t>LOTO</w:t>
    </w:r>
    <w:r w:rsidR="007B5A39">
      <w:t xml:space="preserve"> SAFETY</w:t>
    </w:r>
  </w:p>
  <w:p w14:paraId="2178671E"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28AC31B9">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2318AD7C"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04C441B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1A8"/>
    <w:multiLevelType w:val="hybridMultilevel"/>
    <w:tmpl w:val="4CF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73DC4"/>
    <w:multiLevelType w:val="hybridMultilevel"/>
    <w:tmpl w:val="CF126536"/>
    <w:lvl w:ilvl="0" w:tplc="44724072">
      <w:start w:val="2"/>
      <w:numFmt w:val="decimal"/>
      <w:lvlText w:val="%1."/>
      <w:lvlJc w:val="left"/>
      <w:pPr>
        <w:ind w:left="720" w:hanging="360"/>
      </w:pPr>
      <w:rPr>
        <w:rFonts w:hint="default"/>
        <w:b w:val="0"/>
        <w:color w:val="3634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63E13"/>
    <w:multiLevelType w:val="hybridMultilevel"/>
    <w:tmpl w:val="2E1AE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6DDA"/>
    <w:multiLevelType w:val="hybridMultilevel"/>
    <w:tmpl w:val="9E606668"/>
    <w:lvl w:ilvl="0" w:tplc="0409000F">
      <w:start w:val="1"/>
      <w:numFmt w:val="decimal"/>
      <w:lvlText w:val="%1."/>
      <w:lvlJc w:val="left"/>
      <w:pPr>
        <w:ind w:left="720" w:hanging="360"/>
      </w:pPr>
    </w:lvl>
    <w:lvl w:ilvl="1" w:tplc="0BEEF56C">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16E71"/>
    <w:multiLevelType w:val="hybridMultilevel"/>
    <w:tmpl w:val="AE0C8926"/>
    <w:lvl w:ilvl="0" w:tplc="C00AB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16B31"/>
    <w:multiLevelType w:val="hybridMultilevel"/>
    <w:tmpl w:val="D592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36C6"/>
    <w:multiLevelType w:val="hybridMultilevel"/>
    <w:tmpl w:val="EC5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60477"/>
    <w:multiLevelType w:val="hybridMultilevel"/>
    <w:tmpl w:val="6EBA3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61742"/>
    <w:multiLevelType w:val="hybridMultilevel"/>
    <w:tmpl w:val="3362B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D50F9C"/>
    <w:multiLevelType w:val="hybridMultilevel"/>
    <w:tmpl w:val="B0CE6F9A"/>
    <w:lvl w:ilvl="0" w:tplc="32E025C4">
      <w:start w:val="1"/>
      <w:numFmt w:val="decimal"/>
      <w:lvlText w:val="%1."/>
      <w:lvlJc w:val="left"/>
      <w:pPr>
        <w:ind w:left="720" w:hanging="360"/>
      </w:pPr>
      <w:rPr>
        <w:b w:val="0"/>
      </w:rPr>
    </w:lvl>
    <w:lvl w:ilvl="1" w:tplc="5908EF1A">
      <w:start w:val="1"/>
      <w:numFmt w:val="lowerLetter"/>
      <w:lvlText w:val="%2."/>
      <w:lvlJc w:val="left"/>
      <w:pPr>
        <w:ind w:left="1440" w:hanging="360"/>
      </w:pPr>
      <w:rPr>
        <w:rFonts w:ascii="Times New Roman" w:eastAsia="Times New Roman" w:hAnsi="Times New Roman" w:cs="Times New Roman"/>
      </w:rPr>
    </w:lvl>
    <w:lvl w:ilvl="2" w:tplc="096023EE">
      <w:start w:val="1"/>
      <w:numFmt w:val="upperLetter"/>
      <w:lvlText w:val="%3."/>
      <w:lvlJc w:val="right"/>
      <w:pPr>
        <w:ind w:left="2160" w:hanging="180"/>
      </w:pPr>
      <w:rPr>
        <w:rFonts w:ascii="Times New Roman" w:eastAsia="Times New Roman"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D6F4E"/>
    <w:multiLevelType w:val="hybridMultilevel"/>
    <w:tmpl w:val="EA78BC04"/>
    <w:lvl w:ilvl="0" w:tplc="32E02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F6646"/>
    <w:multiLevelType w:val="hybridMultilevel"/>
    <w:tmpl w:val="D556DE10"/>
    <w:lvl w:ilvl="0" w:tplc="32E02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B7243"/>
    <w:multiLevelType w:val="hybridMultilevel"/>
    <w:tmpl w:val="8656F55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863399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745174">
    <w:abstractNumId w:val="4"/>
  </w:num>
  <w:num w:numId="3" w16cid:durableId="170686667">
    <w:abstractNumId w:val="5"/>
  </w:num>
  <w:num w:numId="4" w16cid:durableId="728187735">
    <w:abstractNumId w:val="0"/>
  </w:num>
  <w:num w:numId="5" w16cid:durableId="1676878900">
    <w:abstractNumId w:val="6"/>
  </w:num>
  <w:num w:numId="6" w16cid:durableId="371226336">
    <w:abstractNumId w:val="1"/>
  </w:num>
  <w:num w:numId="7" w16cid:durableId="1846825819">
    <w:abstractNumId w:val="2"/>
  </w:num>
  <w:num w:numId="8" w16cid:durableId="1784112245">
    <w:abstractNumId w:val="7"/>
  </w:num>
  <w:num w:numId="9" w16cid:durableId="1667053419">
    <w:abstractNumId w:val="3"/>
  </w:num>
  <w:num w:numId="10" w16cid:durableId="587692542">
    <w:abstractNumId w:val="10"/>
  </w:num>
  <w:num w:numId="11" w16cid:durableId="596671717">
    <w:abstractNumId w:val="11"/>
  </w:num>
  <w:num w:numId="12" w16cid:durableId="1218397385">
    <w:abstractNumId w:val="9"/>
  </w:num>
  <w:num w:numId="13" w16cid:durableId="112847488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81A85"/>
    <w:rsid w:val="000C187E"/>
    <w:rsid w:val="0011489E"/>
    <w:rsid w:val="0012018F"/>
    <w:rsid w:val="001469D5"/>
    <w:rsid w:val="00184578"/>
    <w:rsid w:val="001B7036"/>
    <w:rsid w:val="00216607"/>
    <w:rsid w:val="00216DA5"/>
    <w:rsid w:val="0022100D"/>
    <w:rsid w:val="002639B5"/>
    <w:rsid w:val="00282C18"/>
    <w:rsid w:val="002B18CA"/>
    <w:rsid w:val="002B33B9"/>
    <w:rsid w:val="0030430C"/>
    <w:rsid w:val="00334627"/>
    <w:rsid w:val="00391E0D"/>
    <w:rsid w:val="003A39FB"/>
    <w:rsid w:val="003A3DB6"/>
    <w:rsid w:val="003D2F12"/>
    <w:rsid w:val="003F2BFD"/>
    <w:rsid w:val="00403312"/>
    <w:rsid w:val="00456EC3"/>
    <w:rsid w:val="0048009E"/>
    <w:rsid w:val="004C5953"/>
    <w:rsid w:val="004D05CF"/>
    <w:rsid w:val="004D069B"/>
    <w:rsid w:val="00544CFF"/>
    <w:rsid w:val="00577708"/>
    <w:rsid w:val="006059A7"/>
    <w:rsid w:val="00606330"/>
    <w:rsid w:val="0062758A"/>
    <w:rsid w:val="00676E3B"/>
    <w:rsid w:val="00694316"/>
    <w:rsid w:val="006D2EF3"/>
    <w:rsid w:val="00771E5D"/>
    <w:rsid w:val="007B4D19"/>
    <w:rsid w:val="007B5A39"/>
    <w:rsid w:val="00821206"/>
    <w:rsid w:val="00852BF9"/>
    <w:rsid w:val="008B641D"/>
    <w:rsid w:val="008B7FB2"/>
    <w:rsid w:val="008D2344"/>
    <w:rsid w:val="0092015C"/>
    <w:rsid w:val="00962DBB"/>
    <w:rsid w:val="0097444D"/>
    <w:rsid w:val="009C1C93"/>
    <w:rsid w:val="00A032FD"/>
    <w:rsid w:val="00A11EB0"/>
    <w:rsid w:val="00A453DB"/>
    <w:rsid w:val="00A56524"/>
    <w:rsid w:val="00AA4950"/>
    <w:rsid w:val="00AB397F"/>
    <w:rsid w:val="00AE4A2F"/>
    <w:rsid w:val="00B23F75"/>
    <w:rsid w:val="00B528D4"/>
    <w:rsid w:val="00B9177B"/>
    <w:rsid w:val="00B94FC2"/>
    <w:rsid w:val="00B9708C"/>
    <w:rsid w:val="00C17436"/>
    <w:rsid w:val="00C27F82"/>
    <w:rsid w:val="00C622CD"/>
    <w:rsid w:val="00C70D4F"/>
    <w:rsid w:val="00C71B9B"/>
    <w:rsid w:val="00C71E27"/>
    <w:rsid w:val="00C938D9"/>
    <w:rsid w:val="00CA7FF7"/>
    <w:rsid w:val="00CB1C65"/>
    <w:rsid w:val="00CD22F2"/>
    <w:rsid w:val="00D50AA3"/>
    <w:rsid w:val="00D756CE"/>
    <w:rsid w:val="00D840DA"/>
    <w:rsid w:val="00D87A83"/>
    <w:rsid w:val="00D938F0"/>
    <w:rsid w:val="00D939E5"/>
    <w:rsid w:val="00DD0CE6"/>
    <w:rsid w:val="00DE05AC"/>
    <w:rsid w:val="00E60DF8"/>
    <w:rsid w:val="00E6793C"/>
    <w:rsid w:val="00EC67F8"/>
    <w:rsid w:val="00EE0777"/>
    <w:rsid w:val="00F25F5E"/>
    <w:rsid w:val="00F35656"/>
    <w:rsid w:val="00F431DA"/>
    <w:rsid w:val="00FA07C5"/>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B3051"/>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40123">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99A067-9887-4384-B6CC-0CCBC143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7</cp:revision>
  <cp:lastPrinted>2020-02-21T20:52:00Z</cp:lastPrinted>
  <dcterms:created xsi:type="dcterms:W3CDTF">2020-11-19T21:36:00Z</dcterms:created>
  <dcterms:modified xsi:type="dcterms:W3CDTF">2023-12-22T14:22:00Z</dcterms:modified>
</cp:coreProperties>
</file>