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3F272" w14:textId="77777777" w:rsidR="00F431DA" w:rsidRPr="00F431DA" w:rsidRDefault="00A57355" w:rsidP="0012018F">
      <w:pPr>
        <w:keepNext/>
        <w:jc w:val="center"/>
        <w:outlineLvl w:val="2"/>
        <w:rPr>
          <w:b/>
          <w:szCs w:val="22"/>
          <w:u w:val="single"/>
        </w:rPr>
      </w:pPr>
      <w:r>
        <w:rPr>
          <w:b/>
          <w:szCs w:val="22"/>
          <w:u w:val="single"/>
        </w:rPr>
        <w:t>SUBCONTRACTOR SAFETY REQUIREMENTS</w:t>
      </w:r>
    </w:p>
    <w:p w14:paraId="7A88E397" w14:textId="77777777" w:rsidR="00F431DA" w:rsidRPr="00F431DA" w:rsidRDefault="00F431DA" w:rsidP="00FD687E">
      <w:pPr>
        <w:jc w:val="both"/>
        <w:rPr>
          <w:b/>
          <w:szCs w:val="22"/>
        </w:rPr>
      </w:pPr>
    </w:p>
    <w:p w14:paraId="7090126F" w14:textId="77777777" w:rsidR="00A57355" w:rsidRPr="00A57355" w:rsidRDefault="00F431DA" w:rsidP="00FD687E">
      <w:pPr>
        <w:jc w:val="both"/>
        <w:rPr>
          <w:rFonts w:eastAsia="Calibri"/>
          <w:sz w:val="20"/>
          <w:szCs w:val="20"/>
        </w:rPr>
      </w:pPr>
      <w:r w:rsidRPr="00A57355">
        <w:rPr>
          <w:sz w:val="20"/>
          <w:szCs w:val="20"/>
        </w:rPr>
        <w:t xml:space="preserve">Piedmont Service Group (PSG) is </w:t>
      </w:r>
      <w:r w:rsidR="00A57355" w:rsidRPr="00A57355">
        <w:rPr>
          <w:rFonts w:eastAsia="Calibri"/>
          <w:sz w:val="20"/>
          <w:szCs w:val="20"/>
        </w:rPr>
        <w:t xml:space="preserve">committed to providing a safe workplace for all workers. The success of a safe job lies greatly upon the efforts of each contractor on the project. Therefore, each subcontractor shall comply with the rules and regulations as set forth by this manual and all other local, </w:t>
      </w:r>
      <w:proofErr w:type="gramStart"/>
      <w:r w:rsidR="00A57355" w:rsidRPr="00A57355">
        <w:rPr>
          <w:rFonts w:eastAsia="Calibri"/>
          <w:sz w:val="20"/>
          <w:szCs w:val="20"/>
        </w:rPr>
        <w:t>state</w:t>
      </w:r>
      <w:proofErr w:type="gramEnd"/>
      <w:r w:rsidR="00A57355" w:rsidRPr="00A57355">
        <w:rPr>
          <w:rFonts w:eastAsia="Calibri"/>
          <w:sz w:val="20"/>
          <w:szCs w:val="20"/>
        </w:rPr>
        <w:t xml:space="preserve"> and federal laws that may apply.  </w:t>
      </w:r>
    </w:p>
    <w:p w14:paraId="622032D2" w14:textId="77777777" w:rsidR="00771E5D" w:rsidRPr="00A57355" w:rsidRDefault="00771E5D" w:rsidP="00A57355">
      <w:pPr>
        <w:jc w:val="both"/>
        <w:rPr>
          <w:snapToGrid w:val="0"/>
          <w:color w:val="000000"/>
          <w:sz w:val="20"/>
          <w:szCs w:val="20"/>
        </w:rPr>
      </w:pPr>
    </w:p>
    <w:p w14:paraId="084A7DEE" w14:textId="77777777" w:rsidR="00A57355" w:rsidRPr="00A57355" w:rsidRDefault="00A57355" w:rsidP="00A57355">
      <w:pPr>
        <w:numPr>
          <w:ilvl w:val="1"/>
          <w:numId w:val="0"/>
        </w:numPr>
        <w:tabs>
          <w:tab w:val="left" w:pos="1620"/>
        </w:tabs>
        <w:spacing w:before="240" w:after="160"/>
        <w:ind w:left="900" w:hanging="900"/>
        <w:contextualSpacing/>
        <w:jc w:val="center"/>
        <w:rPr>
          <w:rFonts w:eastAsia="Calibri" w:cs="Arial"/>
          <w:b/>
          <w:szCs w:val="22"/>
          <w:u w:val="single"/>
        </w:rPr>
      </w:pPr>
      <w:r w:rsidRPr="00A57355">
        <w:rPr>
          <w:rFonts w:eastAsia="Calibri" w:cs="Arial"/>
          <w:b/>
          <w:szCs w:val="22"/>
          <w:u w:val="single"/>
        </w:rPr>
        <w:t>Subcontractor Pre-qualification</w:t>
      </w:r>
    </w:p>
    <w:p w14:paraId="2CCDCC8F" w14:textId="77777777" w:rsidR="00A57355" w:rsidRPr="00A57355" w:rsidRDefault="00A57355" w:rsidP="00A57355">
      <w:pPr>
        <w:tabs>
          <w:tab w:val="left" w:pos="1620"/>
        </w:tabs>
        <w:spacing w:before="240" w:after="160"/>
        <w:ind w:left="720"/>
        <w:contextualSpacing/>
        <w:jc w:val="both"/>
        <w:rPr>
          <w:rFonts w:eastAsia="Calibri"/>
          <w:sz w:val="20"/>
          <w:szCs w:val="20"/>
        </w:rPr>
      </w:pPr>
    </w:p>
    <w:p w14:paraId="6E2D4D28" w14:textId="77777777" w:rsidR="00A57355" w:rsidRPr="00A57355" w:rsidRDefault="00A57355" w:rsidP="00A57355">
      <w:pPr>
        <w:tabs>
          <w:tab w:val="left" w:pos="1620"/>
        </w:tabs>
        <w:spacing w:before="240" w:after="160"/>
        <w:contextualSpacing/>
        <w:jc w:val="both"/>
        <w:rPr>
          <w:rFonts w:eastAsia="Calibri"/>
          <w:sz w:val="20"/>
          <w:szCs w:val="20"/>
        </w:rPr>
      </w:pPr>
      <w:r w:rsidRPr="00A57355">
        <w:rPr>
          <w:rFonts w:eastAsia="Calibri"/>
          <w:sz w:val="20"/>
          <w:szCs w:val="20"/>
        </w:rPr>
        <w:t>All subcontractor firms must complete and submit a Subcontractor Safety Pre-qualification Form. The Estimator reviews subcontractor safety information and approves the pre-qualification information before the subcontractor is allowed to commence work activities. Safety pre-qualification forms must be resubmitted by subcontractor firms on an annual basis to ensure acceptable safety performance.</w:t>
      </w:r>
    </w:p>
    <w:p w14:paraId="5AF5F51C" w14:textId="77777777" w:rsidR="00A57355" w:rsidRPr="00A57355" w:rsidRDefault="00A57355" w:rsidP="00A57355">
      <w:pPr>
        <w:tabs>
          <w:tab w:val="left" w:pos="1620"/>
        </w:tabs>
        <w:spacing w:before="240" w:after="160"/>
        <w:ind w:left="1620"/>
        <w:contextualSpacing/>
        <w:jc w:val="both"/>
        <w:rPr>
          <w:rFonts w:eastAsia="Calibri" w:cs="Arial"/>
          <w:b/>
          <w:sz w:val="20"/>
          <w:szCs w:val="20"/>
        </w:rPr>
      </w:pPr>
    </w:p>
    <w:p w14:paraId="28C91D7F" w14:textId="77777777" w:rsidR="00A57355" w:rsidRPr="00A57355" w:rsidRDefault="00A57355" w:rsidP="00A57355">
      <w:pPr>
        <w:numPr>
          <w:ilvl w:val="1"/>
          <w:numId w:val="0"/>
        </w:numPr>
        <w:tabs>
          <w:tab w:val="left" w:pos="1620"/>
        </w:tabs>
        <w:spacing w:before="240" w:after="160"/>
        <w:ind w:left="1620" w:hanging="900"/>
        <w:contextualSpacing/>
        <w:jc w:val="both"/>
        <w:rPr>
          <w:rFonts w:eastAsia="Calibri" w:cs="Arial"/>
          <w:b/>
          <w:sz w:val="20"/>
          <w:szCs w:val="20"/>
          <w:u w:val="single"/>
        </w:rPr>
      </w:pPr>
      <w:r w:rsidRPr="00A57355">
        <w:rPr>
          <w:rFonts w:eastAsia="Calibri" w:cs="Arial"/>
          <w:b/>
          <w:sz w:val="20"/>
          <w:szCs w:val="20"/>
          <w:u w:val="single"/>
        </w:rPr>
        <w:t>Subcontractor Criteria</w:t>
      </w:r>
      <w:r>
        <w:rPr>
          <w:rFonts w:eastAsia="Calibri" w:cs="Arial"/>
          <w:b/>
          <w:sz w:val="20"/>
          <w:szCs w:val="20"/>
          <w:u w:val="single"/>
        </w:rPr>
        <w:t>:</w:t>
      </w:r>
    </w:p>
    <w:p w14:paraId="467D614F" w14:textId="77777777" w:rsidR="00A57355" w:rsidRPr="00A57355" w:rsidRDefault="00A57355" w:rsidP="00A57355">
      <w:pPr>
        <w:numPr>
          <w:ilvl w:val="1"/>
          <w:numId w:val="0"/>
        </w:numPr>
        <w:tabs>
          <w:tab w:val="left" w:pos="1620"/>
        </w:tabs>
        <w:spacing w:before="240" w:after="160"/>
        <w:ind w:left="1620" w:hanging="900"/>
        <w:contextualSpacing/>
        <w:jc w:val="both"/>
        <w:rPr>
          <w:rFonts w:eastAsia="Calibri" w:cs="Arial"/>
          <w:b/>
          <w:sz w:val="20"/>
          <w:szCs w:val="20"/>
        </w:rPr>
      </w:pPr>
    </w:p>
    <w:p w14:paraId="530AFB2D" w14:textId="77777777" w:rsidR="00A57355" w:rsidRPr="00A57355" w:rsidRDefault="00A57355" w:rsidP="00A57355">
      <w:pPr>
        <w:spacing w:after="160" w:line="259" w:lineRule="auto"/>
        <w:ind w:left="720"/>
        <w:jc w:val="both"/>
        <w:rPr>
          <w:rFonts w:eastAsia="Calibri"/>
          <w:sz w:val="20"/>
          <w:szCs w:val="20"/>
        </w:rPr>
      </w:pPr>
      <w:r w:rsidRPr="00A57355">
        <w:rPr>
          <w:rFonts w:eastAsia="Calibri"/>
          <w:sz w:val="20"/>
          <w:szCs w:val="20"/>
        </w:rPr>
        <w:t>To be eligible for subcontract award, subcontractor firms must have:</w:t>
      </w:r>
    </w:p>
    <w:p w14:paraId="6752C144" w14:textId="77777777" w:rsidR="00A57355" w:rsidRPr="00A57355" w:rsidRDefault="00A57355" w:rsidP="00A57355">
      <w:pPr>
        <w:numPr>
          <w:ilvl w:val="2"/>
          <w:numId w:val="0"/>
        </w:numPr>
        <w:tabs>
          <w:tab w:val="left" w:pos="1620"/>
        </w:tabs>
        <w:spacing w:before="240" w:after="160"/>
        <w:ind w:left="900" w:hanging="900"/>
        <w:contextualSpacing/>
        <w:jc w:val="both"/>
        <w:rPr>
          <w:rFonts w:eastAsia="Calibri" w:cs="Arial"/>
          <w:sz w:val="20"/>
          <w:szCs w:val="20"/>
        </w:rPr>
      </w:pPr>
      <w:r>
        <w:rPr>
          <w:rFonts w:eastAsia="Calibri" w:cs="Arial"/>
          <w:sz w:val="20"/>
          <w:szCs w:val="20"/>
        </w:rPr>
        <w:tab/>
      </w:r>
      <w:r>
        <w:rPr>
          <w:rFonts w:eastAsia="Calibri" w:cs="Arial"/>
          <w:sz w:val="20"/>
          <w:szCs w:val="20"/>
        </w:rPr>
        <w:tab/>
        <w:t xml:space="preserve">• </w:t>
      </w:r>
      <w:r w:rsidRPr="00A57355">
        <w:rPr>
          <w:rFonts w:eastAsia="Calibri" w:cs="Arial"/>
          <w:sz w:val="20"/>
          <w:szCs w:val="20"/>
        </w:rPr>
        <w:t>EMR rating below 1.00.</w:t>
      </w:r>
    </w:p>
    <w:p w14:paraId="6CCD3853" w14:textId="77777777" w:rsidR="00A57355" w:rsidRPr="00A57355" w:rsidRDefault="00A57355" w:rsidP="00A57355">
      <w:pPr>
        <w:tabs>
          <w:tab w:val="left" w:pos="1620"/>
        </w:tabs>
        <w:spacing w:before="240" w:after="160"/>
        <w:ind w:left="1620"/>
        <w:contextualSpacing/>
        <w:jc w:val="both"/>
        <w:rPr>
          <w:rFonts w:eastAsia="Calibri" w:cs="Arial"/>
          <w:sz w:val="20"/>
          <w:szCs w:val="20"/>
        </w:rPr>
      </w:pPr>
    </w:p>
    <w:p w14:paraId="17F6B434" w14:textId="77777777" w:rsidR="00A57355" w:rsidRPr="00A57355" w:rsidRDefault="00A57355" w:rsidP="00A57355">
      <w:pPr>
        <w:numPr>
          <w:ilvl w:val="2"/>
          <w:numId w:val="0"/>
        </w:numPr>
        <w:tabs>
          <w:tab w:val="left" w:pos="1620"/>
        </w:tabs>
        <w:spacing w:before="240" w:after="160"/>
        <w:ind w:left="900" w:hanging="900"/>
        <w:contextualSpacing/>
        <w:jc w:val="both"/>
        <w:rPr>
          <w:rFonts w:eastAsia="Calibri" w:cs="Arial"/>
          <w:sz w:val="20"/>
          <w:szCs w:val="20"/>
        </w:rPr>
      </w:pPr>
      <w:r w:rsidRPr="00A57355">
        <w:rPr>
          <w:rFonts w:eastAsia="Calibri" w:cs="Arial"/>
          <w:sz w:val="20"/>
          <w:szCs w:val="20"/>
        </w:rPr>
        <w:tab/>
      </w:r>
      <w:r>
        <w:rPr>
          <w:rFonts w:eastAsia="Calibri" w:cs="Arial"/>
          <w:sz w:val="20"/>
          <w:szCs w:val="20"/>
        </w:rPr>
        <w:tab/>
        <w:t xml:space="preserve">• </w:t>
      </w:r>
      <w:r w:rsidRPr="00A57355">
        <w:rPr>
          <w:rFonts w:eastAsia="Calibri" w:cs="Arial"/>
          <w:sz w:val="20"/>
          <w:szCs w:val="20"/>
        </w:rPr>
        <w:t>Total Recordable Incident Rate (TRIR) below the nation</w:t>
      </w:r>
      <w:r w:rsidR="008B426C">
        <w:rPr>
          <w:rFonts w:eastAsia="Calibri" w:cs="Arial"/>
          <w:sz w:val="20"/>
          <w:szCs w:val="20"/>
        </w:rPr>
        <w:t>al</w:t>
      </w:r>
      <w:r w:rsidRPr="00A57355">
        <w:rPr>
          <w:rFonts w:eastAsia="Calibri" w:cs="Arial"/>
          <w:sz w:val="20"/>
          <w:szCs w:val="20"/>
        </w:rPr>
        <w:t xml:space="preserve"> average per SIC Code.</w:t>
      </w:r>
    </w:p>
    <w:p w14:paraId="6E6BDFAB" w14:textId="77777777" w:rsidR="00A57355" w:rsidRPr="00A57355" w:rsidRDefault="00A57355" w:rsidP="00A57355">
      <w:pPr>
        <w:tabs>
          <w:tab w:val="left" w:pos="1620"/>
        </w:tabs>
        <w:spacing w:before="240" w:after="160"/>
        <w:ind w:left="1620"/>
        <w:contextualSpacing/>
        <w:jc w:val="both"/>
        <w:rPr>
          <w:rFonts w:eastAsia="Calibri" w:cs="Arial"/>
          <w:sz w:val="20"/>
          <w:szCs w:val="20"/>
        </w:rPr>
      </w:pPr>
    </w:p>
    <w:p w14:paraId="3B70867A" w14:textId="77777777" w:rsidR="00A57355" w:rsidRPr="00A57355" w:rsidRDefault="00A57355" w:rsidP="00A57355">
      <w:pPr>
        <w:numPr>
          <w:ilvl w:val="2"/>
          <w:numId w:val="0"/>
        </w:numPr>
        <w:tabs>
          <w:tab w:val="left" w:pos="1620"/>
        </w:tabs>
        <w:spacing w:before="240" w:after="160"/>
        <w:ind w:left="900" w:hanging="900"/>
        <w:contextualSpacing/>
        <w:jc w:val="both"/>
        <w:rPr>
          <w:rFonts w:eastAsia="Calibri" w:cs="Arial"/>
          <w:sz w:val="20"/>
          <w:szCs w:val="20"/>
        </w:rPr>
      </w:pPr>
      <w:r w:rsidRPr="00A57355">
        <w:rPr>
          <w:rFonts w:eastAsia="Calibri" w:cs="Arial"/>
          <w:sz w:val="20"/>
          <w:szCs w:val="20"/>
        </w:rPr>
        <w:tab/>
      </w:r>
      <w:r>
        <w:rPr>
          <w:rFonts w:eastAsia="Calibri" w:cs="Arial"/>
          <w:sz w:val="20"/>
          <w:szCs w:val="20"/>
        </w:rPr>
        <w:tab/>
        <w:t xml:space="preserve">• </w:t>
      </w:r>
      <w:r w:rsidR="008B426C">
        <w:rPr>
          <w:rFonts w:eastAsia="Calibri" w:cs="Arial"/>
          <w:sz w:val="20"/>
          <w:szCs w:val="20"/>
        </w:rPr>
        <w:t>Days Away, Restricted</w:t>
      </w:r>
      <w:r w:rsidRPr="00A57355">
        <w:rPr>
          <w:rFonts w:eastAsia="Calibri" w:cs="Arial"/>
          <w:sz w:val="20"/>
          <w:szCs w:val="20"/>
        </w:rPr>
        <w:t xml:space="preserve"> or Transferred Rate (DART) below the nation</w:t>
      </w:r>
      <w:r w:rsidR="008B426C">
        <w:rPr>
          <w:rFonts w:eastAsia="Calibri" w:cs="Arial"/>
          <w:sz w:val="20"/>
          <w:szCs w:val="20"/>
        </w:rPr>
        <w:t>al</w:t>
      </w:r>
      <w:r w:rsidRPr="00A57355">
        <w:rPr>
          <w:rFonts w:eastAsia="Calibri" w:cs="Arial"/>
          <w:sz w:val="20"/>
          <w:szCs w:val="20"/>
        </w:rPr>
        <w:t xml:space="preserve"> average per SIC </w:t>
      </w:r>
      <w:r>
        <w:rPr>
          <w:rFonts w:eastAsia="Calibri" w:cs="Arial"/>
          <w:sz w:val="20"/>
          <w:szCs w:val="20"/>
        </w:rPr>
        <w:tab/>
      </w:r>
      <w:r w:rsidRPr="00A57355">
        <w:rPr>
          <w:rFonts w:eastAsia="Calibri" w:cs="Arial"/>
          <w:sz w:val="20"/>
          <w:szCs w:val="20"/>
        </w:rPr>
        <w:t>Code.</w:t>
      </w:r>
    </w:p>
    <w:p w14:paraId="66E3CAC3" w14:textId="77777777" w:rsidR="00A57355" w:rsidRPr="00A57355" w:rsidRDefault="00A57355" w:rsidP="00A57355">
      <w:pPr>
        <w:tabs>
          <w:tab w:val="left" w:pos="1620"/>
        </w:tabs>
        <w:spacing w:before="240" w:after="160"/>
        <w:ind w:left="1620"/>
        <w:contextualSpacing/>
        <w:jc w:val="both"/>
        <w:rPr>
          <w:rFonts w:eastAsia="Calibri" w:cs="Arial"/>
          <w:sz w:val="20"/>
          <w:szCs w:val="20"/>
        </w:rPr>
      </w:pPr>
    </w:p>
    <w:p w14:paraId="4BE68FE1" w14:textId="77777777" w:rsidR="0018557C" w:rsidRDefault="00A57355" w:rsidP="00A57355">
      <w:pPr>
        <w:numPr>
          <w:ilvl w:val="2"/>
          <w:numId w:val="0"/>
        </w:numPr>
        <w:tabs>
          <w:tab w:val="left" w:pos="1620"/>
        </w:tabs>
        <w:spacing w:before="240" w:after="160"/>
        <w:ind w:left="900" w:hanging="900"/>
        <w:contextualSpacing/>
        <w:jc w:val="both"/>
        <w:rPr>
          <w:rFonts w:eastAsia="Calibri" w:cs="Arial"/>
          <w:sz w:val="20"/>
          <w:szCs w:val="20"/>
        </w:rPr>
      </w:pPr>
      <w:r w:rsidRPr="00A57355">
        <w:rPr>
          <w:rFonts w:eastAsia="Calibri" w:cs="Arial"/>
          <w:sz w:val="20"/>
          <w:szCs w:val="20"/>
        </w:rPr>
        <w:tab/>
      </w:r>
      <w:r>
        <w:rPr>
          <w:rFonts w:eastAsia="Calibri" w:cs="Arial"/>
          <w:sz w:val="20"/>
          <w:szCs w:val="20"/>
        </w:rPr>
        <w:tab/>
        <w:t xml:space="preserve">• </w:t>
      </w:r>
      <w:r w:rsidRPr="00A57355">
        <w:rPr>
          <w:rFonts w:eastAsia="Calibri" w:cs="Arial"/>
          <w:sz w:val="20"/>
          <w:szCs w:val="20"/>
        </w:rPr>
        <w:t>Safety policies and procedures for activities pertaining to scope of work.</w:t>
      </w:r>
    </w:p>
    <w:p w14:paraId="672A79EF" w14:textId="77777777" w:rsidR="0018557C" w:rsidRDefault="0018557C" w:rsidP="00A57355">
      <w:pPr>
        <w:numPr>
          <w:ilvl w:val="2"/>
          <w:numId w:val="0"/>
        </w:numPr>
        <w:tabs>
          <w:tab w:val="left" w:pos="1620"/>
        </w:tabs>
        <w:spacing w:before="240" w:after="160"/>
        <w:ind w:left="900" w:hanging="900"/>
        <w:contextualSpacing/>
        <w:jc w:val="both"/>
        <w:rPr>
          <w:rFonts w:eastAsia="Calibri" w:cs="Arial"/>
          <w:sz w:val="20"/>
          <w:szCs w:val="20"/>
        </w:rPr>
      </w:pPr>
    </w:p>
    <w:p w14:paraId="6394C5CD" w14:textId="77777777" w:rsidR="008A5924" w:rsidRPr="00A57355" w:rsidRDefault="008A5924" w:rsidP="00A57355">
      <w:pPr>
        <w:numPr>
          <w:ilvl w:val="2"/>
          <w:numId w:val="0"/>
        </w:numPr>
        <w:tabs>
          <w:tab w:val="left" w:pos="1620"/>
        </w:tabs>
        <w:spacing w:before="240" w:after="160"/>
        <w:ind w:left="900" w:hanging="900"/>
        <w:contextualSpacing/>
        <w:jc w:val="both"/>
        <w:rPr>
          <w:rFonts w:eastAsia="Calibri" w:cs="Arial"/>
          <w:sz w:val="20"/>
          <w:szCs w:val="20"/>
        </w:rPr>
      </w:pPr>
    </w:p>
    <w:p w14:paraId="5D752C9A" w14:textId="77777777" w:rsidR="00A57355" w:rsidRPr="00A57355" w:rsidRDefault="00A57355" w:rsidP="00A57355">
      <w:pPr>
        <w:spacing w:after="160" w:line="259" w:lineRule="auto"/>
        <w:jc w:val="both"/>
        <w:rPr>
          <w:rFonts w:eastAsia="Calibri"/>
          <w:sz w:val="20"/>
          <w:szCs w:val="20"/>
        </w:rPr>
      </w:pPr>
      <w:r>
        <w:rPr>
          <w:rFonts w:eastAsia="Calibri"/>
          <w:sz w:val="20"/>
          <w:szCs w:val="20"/>
        </w:rPr>
        <w:tab/>
      </w:r>
      <w:r w:rsidRPr="00A57355">
        <w:rPr>
          <w:rFonts w:eastAsia="Calibri"/>
          <w:sz w:val="20"/>
          <w:szCs w:val="20"/>
        </w:rPr>
        <w:t xml:space="preserve">Contractors that do not meet these criteria may be subject to conditional approval. </w:t>
      </w:r>
      <w:r w:rsidR="008A5924">
        <w:rPr>
          <w:rFonts w:eastAsia="Calibri"/>
          <w:sz w:val="20"/>
          <w:szCs w:val="20"/>
        </w:rPr>
        <w:tab/>
      </w:r>
      <w:r w:rsidRPr="00A57355">
        <w:rPr>
          <w:rFonts w:eastAsia="Calibri"/>
          <w:sz w:val="20"/>
          <w:szCs w:val="20"/>
        </w:rPr>
        <w:t>Conditional approval can only be given by the company Saf</w:t>
      </w:r>
      <w:r w:rsidR="008A5924">
        <w:rPr>
          <w:rFonts w:eastAsia="Calibri"/>
          <w:sz w:val="20"/>
          <w:szCs w:val="20"/>
        </w:rPr>
        <w:t xml:space="preserve">ety Director or the General </w:t>
      </w:r>
      <w:r w:rsidR="008A5924">
        <w:rPr>
          <w:rFonts w:eastAsia="Calibri"/>
          <w:sz w:val="20"/>
          <w:szCs w:val="20"/>
        </w:rPr>
        <w:tab/>
        <w:t>Manager</w:t>
      </w:r>
      <w:r w:rsidRPr="00A57355">
        <w:rPr>
          <w:rFonts w:eastAsia="Calibri"/>
          <w:sz w:val="20"/>
          <w:szCs w:val="20"/>
        </w:rPr>
        <w:t>.</w:t>
      </w:r>
    </w:p>
    <w:p w14:paraId="733CF5B2" w14:textId="77777777" w:rsidR="00A57355" w:rsidRDefault="00A57355" w:rsidP="00A57355">
      <w:pPr>
        <w:numPr>
          <w:ilvl w:val="1"/>
          <w:numId w:val="0"/>
        </w:numPr>
        <w:tabs>
          <w:tab w:val="left" w:pos="1620"/>
        </w:tabs>
        <w:spacing w:before="240" w:after="160"/>
        <w:ind w:left="1620" w:hanging="900"/>
        <w:contextualSpacing/>
        <w:jc w:val="both"/>
        <w:rPr>
          <w:rFonts w:eastAsia="Calibri" w:cs="Arial"/>
          <w:b/>
          <w:sz w:val="20"/>
          <w:szCs w:val="20"/>
          <w:u w:val="single"/>
        </w:rPr>
      </w:pPr>
      <w:r w:rsidRPr="00A57355">
        <w:rPr>
          <w:rFonts w:eastAsia="Calibri" w:cs="Arial"/>
          <w:b/>
          <w:sz w:val="20"/>
          <w:szCs w:val="20"/>
          <w:u w:val="single"/>
        </w:rPr>
        <w:t xml:space="preserve">Subcontractor Documentation:  </w:t>
      </w:r>
    </w:p>
    <w:p w14:paraId="04AAA122" w14:textId="77777777" w:rsidR="008A5924" w:rsidRPr="00A57355" w:rsidRDefault="008A5924" w:rsidP="00A57355">
      <w:pPr>
        <w:numPr>
          <w:ilvl w:val="1"/>
          <w:numId w:val="0"/>
        </w:numPr>
        <w:tabs>
          <w:tab w:val="left" w:pos="1620"/>
        </w:tabs>
        <w:spacing w:before="240" w:after="160"/>
        <w:ind w:left="1620" w:hanging="900"/>
        <w:contextualSpacing/>
        <w:jc w:val="both"/>
        <w:rPr>
          <w:rFonts w:eastAsia="Calibri" w:cs="Arial"/>
          <w:b/>
          <w:sz w:val="20"/>
          <w:szCs w:val="20"/>
          <w:u w:val="single"/>
        </w:rPr>
      </w:pPr>
    </w:p>
    <w:p w14:paraId="20F44562" w14:textId="77777777" w:rsidR="00A57355" w:rsidRPr="00A57355" w:rsidRDefault="00A57355" w:rsidP="00A57355">
      <w:pPr>
        <w:spacing w:after="160" w:line="259" w:lineRule="auto"/>
        <w:ind w:left="720" w:right="390"/>
        <w:jc w:val="both"/>
        <w:rPr>
          <w:rFonts w:eastAsia="Calibri"/>
          <w:sz w:val="20"/>
          <w:szCs w:val="20"/>
        </w:rPr>
      </w:pPr>
      <w:r w:rsidRPr="00A57355">
        <w:rPr>
          <w:rFonts w:eastAsia="Calibri"/>
          <w:sz w:val="20"/>
          <w:szCs w:val="20"/>
        </w:rPr>
        <w:t xml:space="preserve">Each subcontractor shall provide </w:t>
      </w:r>
      <w:r w:rsidR="008A5924">
        <w:rPr>
          <w:rFonts w:eastAsia="Calibri"/>
          <w:sz w:val="20"/>
          <w:szCs w:val="20"/>
        </w:rPr>
        <w:t>PSG</w:t>
      </w:r>
      <w:r w:rsidRPr="00A57355">
        <w:rPr>
          <w:rFonts w:eastAsia="Calibri"/>
          <w:sz w:val="20"/>
          <w:szCs w:val="20"/>
        </w:rPr>
        <w:t xml:space="preserve"> with the following before commencing work on a </w:t>
      </w:r>
      <w:r w:rsidR="008A5924">
        <w:rPr>
          <w:rFonts w:eastAsia="Calibri"/>
          <w:sz w:val="20"/>
          <w:szCs w:val="20"/>
        </w:rPr>
        <w:t>PSG</w:t>
      </w:r>
      <w:r w:rsidR="008B426C">
        <w:rPr>
          <w:rFonts w:eastAsia="Calibri"/>
          <w:sz w:val="20"/>
          <w:szCs w:val="20"/>
        </w:rPr>
        <w:t xml:space="preserve"> project:</w:t>
      </w:r>
    </w:p>
    <w:p w14:paraId="561684A3" w14:textId="77777777" w:rsidR="00A57355" w:rsidRPr="00A57355" w:rsidRDefault="008A5924" w:rsidP="00A57355">
      <w:pPr>
        <w:numPr>
          <w:ilvl w:val="2"/>
          <w:numId w:val="0"/>
        </w:numPr>
        <w:tabs>
          <w:tab w:val="left" w:pos="1620"/>
        </w:tabs>
        <w:spacing w:before="240" w:after="160"/>
        <w:ind w:left="1620" w:right="390" w:hanging="900"/>
        <w:contextualSpacing/>
        <w:jc w:val="both"/>
        <w:rPr>
          <w:rFonts w:eastAsia="Calibri" w:cs="Arial"/>
          <w:sz w:val="20"/>
          <w:szCs w:val="20"/>
        </w:rPr>
      </w:pPr>
      <w:r>
        <w:rPr>
          <w:rFonts w:eastAsia="Calibri" w:cs="Arial"/>
          <w:sz w:val="20"/>
          <w:szCs w:val="20"/>
        </w:rPr>
        <w:tab/>
        <w:t xml:space="preserve">• </w:t>
      </w:r>
      <w:r w:rsidR="00A57355" w:rsidRPr="00A57355">
        <w:rPr>
          <w:rFonts w:eastAsia="Calibri" w:cs="Arial"/>
          <w:sz w:val="20"/>
          <w:szCs w:val="20"/>
        </w:rPr>
        <w:t>A signed subcontract agreement, thus agreeing to all provisions</w:t>
      </w:r>
      <w:r>
        <w:rPr>
          <w:rFonts w:eastAsia="Calibri" w:cs="Arial"/>
          <w:sz w:val="20"/>
          <w:szCs w:val="20"/>
        </w:rPr>
        <w:t xml:space="preserve"> of safety under such agreement.</w:t>
      </w:r>
    </w:p>
    <w:p w14:paraId="38EB385B" w14:textId="77777777" w:rsidR="00A57355" w:rsidRPr="00A57355" w:rsidRDefault="00A57355" w:rsidP="00A57355">
      <w:pPr>
        <w:tabs>
          <w:tab w:val="left" w:pos="1620"/>
        </w:tabs>
        <w:spacing w:before="240" w:after="160"/>
        <w:ind w:left="1620" w:right="390"/>
        <w:contextualSpacing/>
        <w:jc w:val="both"/>
        <w:rPr>
          <w:rFonts w:eastAsia="Calibri" w:cs="Arial"/>
          <w:sz w:val="20"/>
          <w:szCs w:val="20"/>
        </w:rPr>
      </w:pPr>
    </w:p>
    <w:p w14:paraId="32DDDE6A" w14:textId="77777777" w:rsidR="00A57355" w:rsidRPr="00A57355" w:rsidRDefault="008A5924" w:rsidP="00A57355">
      <w:pPr>
        <w:numPr>
          <w:ilvl w:val="2"/>
          <w:numId w:val="0"/>
        </w:numPr>
        <w:tabs>
          <w:tab w:val="left" w:pos="1620"/>
        </w:tabs>
        <w:spacing w:before="240" w:after="160"/>
        <w:ind w:left="1620" w:right="390" w:hanging="900"/>
        <w:contextualSpacing/>
        <w:jc w:val="both"/>
        <w:rPr>
          <w:rFonts w:eastAsia="Calibri" w:cs="Arial"/>
          <w:sz w:val="20"/>
          <w:szCs w:val="20"/>
        </w:rPr>
      </w:pPr>
      <w:r>
        <w:rPr>
          <w:rFonts w:eastAsia="Calibri" w:cs="Arial"/>
          <w:sz w:val="20"/>
          <w:szCs w:val="20"/>
        </w:rPr>
        <w:tab/>
        <w:t xml:space="preserve">• </w:t>
      </w:r>
      <w:r w:rsidR="00A57355" w:rsidRPr="00A57355">
        <w:rPr>
          <w:rFonts w:eastAsia="Calibri" w:cs="Arial"/>
          <w:sz w:val="20"/>
          <w:szCs w:val="20"/>
        </w:rPr>
        <w:t xml:space="preserve">An insurance certificate naming </w:t>
      </w:r>
      <w:r w:rsidR="0018557C">
        <w:rPr>
          <w:rFonts w:eastAsia="Calibri" w:cs="Arial"/>
          <w:sz w:val="20"/>
          <w:szCs w:val="20"/>
        </w:rPr>
        <w:t>Piedmont Service Group</w:t>
      </w:r>
      <w:r w:rsidR="00A57355" w:rsidRPr="00A57355">
        <w:rPr>
          <w:rFonts w:eastAsia="Calibri" w:cs="Arial"/>
          <w:sz w:val="20"/>
          <w:szCs w:val="20"/>
        </w:rPr>
        <w:t xml:space="preserve"> and </w:t>
      </w:r>
      <w:r>
        <w:rPr>
          <w:rFonts w:eastAsia="Calibri" w:cs="Arial"/>
          <w:sz w:val="20"/>
          <w:szCs w:val="20"/>
        </w:rPr>
        <w:t>the owner as additional insured.</w:t>
      </w:r>
    </w:p>
    <w:p w14:paraId="04AA5CCE" w14:textId="77777777" w:rsidR="00A57355" w:rsidRPr="00A57355" w:rsidRDefault="00A57355" w:rsidP="00A57355">
      <w:pPr>
        <w:tabs>
          <w:tab w:val="left" w:pos="1620"/>
        </w:tabs>
        <w:spacing w:before="240" w:after="160"/>
        <w:ind w:left="1620" w:right="390"/>
        <w:contextualSpacing/>
        <w:jc w:val="both"/>
        <w:rPr>
          <w:rFonts w:eastAsia="Calibri" w:cs="Arial"/>
          <w:sz w:val="20"/>
          <w:szCs w:val="20"/>
        </w:rPr>
      </w:pPr>
    </w:p>
    <w:p w14:paraId="16B70B94" w14:textId="77777777" w:rsidR="00A57355" w:rsidRPr="00A57355" w:rsidRDefault="008A5924" w:rsidP="00A57355">
      <w:pPr>
        <w:numPr>
          <w:ilvl w:val="2"/>
          <w:numId w:val="0"/>
        </w:numPr>
        <w:tabs>
          <w:tab w:val="left" w:pos="1620"/>
        </w:tabs>
        <w:spacing w:before="240" w:after="160"/>
        <w:ind w:left="1620" w:right="390" w:hanging="900"/>
        <w:contextualSpacing/>
        <w:jc w:val="both"/>
        <w:rPr>
          <w:rFonts w:eastAsia="Calibri" w:cs="Arial"/>
          <w:sz w:val="20"/>
          <w:szCs w:val="20"/>
        </w:rPr>
      </w:pPr>
      <w:r>
        <w:rPr>
          <w:rFonts w:eastAsia="Calibri" w:cs="Arial"/>
          <w:sz w:val="20"/>
          <w:szCs w:val="20"/>
        </w:rPr>
        <w:tab/>
        <w:t xml:space="preserve">• </w:t>
      </w:r>
      <w:r w:rsidR="00A57355" w:rsidRPr="00A57355">
        <w:rPr>
          <w:rFonts w:eastAsia="Calibri" w:cs="Arial"/>
          <w:sz w:val="20"/>
          <w:szCs w:val="20"/>
        </w:rPr>
        <w:t xml:space="preserve">A project or company safety program and SDS for all hazardous material that are expected to be used on the site. All SDS books will be kept in a common </w:t>
      </w:r>
      <w:proofErr w:type="gramStart"/>
      <w:r w:rsidR="00A57355" w:rsidRPr="00A57355">
        <w:rPr>
          <w:rFonts w:eastAsia="Calibri" w:cs="Arial"/>
          <w:sz w:val="20"/>
          <w:szCs w:val="20"/>
        </w:rPr>
        <w:t>place as</w:t>
      </w:r>
      <w:proofErr w:type="gramEnd"/>
      <w:r w:rsidR="00A57355" w:rsidRPr="00A57355">
        <w:rPr>
          <w:rFonts w:eastAsia="Calibri" w:cs="Arial"/>
          <w:sz w:val="20"/>
          <w:szCs w:val="20"/>
        </w:rPr>
        <w:t xml:space="preserve"> to serve for quick access in the case of an emergency. </w:t>
      </w:r>
      <w:r>
        <w:rPr>
          <w:rFonts w:eastAsia="Calibri" w:cs="Arial"/>
          <w:sz w:val="20"/>
          <w:szCs w:val="20"/>
        </w:rPr>
        <w:t xml:space="preserve">If an electronic file is used, the location and password is required. </w:t>
      </w:r>
      <w:r w:rsidR="00A57355" w:rsidRPr="00A57355">
        <w:rPr>
          <w:rFonts w:eastAsia="Calibri" w:cs="Arial"/>
          <w:sz w:val="20"/>
          <w:szCs w:val="20"/>
        </w:rPr>
        <w:t>A specific project safety plan may be required when the scope of work indicates a significant potential for injury and/or property damage or when required by the owner.</w:t>
      </w:r>
    </w:p>
    <w:p w14:paraId="0743DDD9" w14:textId="77777777" w:rsidR="008A5924" w:rsidRDefault="008A5924" w:rsidP="00A57355">
      <w:pPr>
        <w:numPr>
          <w:ilvl w:val="1"/>
          <w:numId w:val="0"/>
        </w:numPr>
        <w:tabs>
          <w:tab w:val="left" w:pos="1620"/>
        </w:tabs>
        <w:spacing w:before="240" w:after="160"/>
        <w:ind w:left="1620" w:hanging="900"/>
        <w:contextualSpacing/>
        <w:jc w:val="both"/>
        <w:rPr>
          <w:rFonts w:eastAsia="Calibri" w:cs="Arial"/>
          <w:b/>
          <w:sz w:val="20"/>
          <w:szCs w:val="20"/>
        </w:rPr>
      </w:pPr>
    </w:p>
    <w:p w14:paraId="51A28055" w14:textId="77777777" w:rsidR="008A5924" w:rsidRDefault="008A5924" w:rsidP="00A57355">
      <w:pPr>
        <w:numPr>
          <w:ilvl w:val="1"/>
          <w:numId w:val="0"/>
        </w:numPr>
        <w:tabs>
          <w:tab w:val="left" w:pos="1620"/>
        </w:tabs>
        <w:spacing w:before="240" w:after="160"/>
        <w:ind w:left="1620" w:hanging="900"/>
        <w:contextualSpacing/>
        <w:jc w:val="both"/>
        <w:rPr>
          <w:rFonts w:eastAsia="Calibri" w:cs="Arial"/>
          <w:b/>
          <w:sz w:val="20"/>
          <w:szCs w:val="20"/>
        </w:rPr>
      </w:pPr>
    </w:p>
    <w:p w14:paraId="6222270D" w14:textId="77777777" w:rsidR="00A57355" w:rsidRDefault="0018557C" w:rsidP="0018557C">
      <w:pPr>
        <w:numPr>
          <w:ilvl w:val="1"/>
          <w:numId w:val="0"/>
        </w:numPr>
        <w:tabs>
          <w:tab w:val="left" w:pos="1620"/>
        </w:tabs>
        <w:spacing w:before="240" w:after="160"/>
        <w:ind w:left="900" w:hanging="900"/>
        <w:contextualSpacing/>
        <w:jc w:val="both"/>
        <w:rPr>
          <w:rFonts w:eastAsia="Calibri" w:cs="Arial"/>
          <w:b/>
          <w:sz w:val="20"/>
          <w:szCs w:val="20"/>
          <w:u w:val="single"/>
        </w:rPr>
      </w:pPr>
      <w:r w:rsidRPr="0018557C">
        <w:rPr>
          <w:rFonts w:eastAsia="Calibri" w:cs="Arial"/>
          <w:b/>
          <w:sz w:val="20"/>
          <w:szCs w:val="20"/>
        </w:rPr>
        <w:tab/>
      </w:r>
      <w:r w:rsidR="00A57355" w:rsidRPr="00A57355">
        <w:rPr>
          <w:rFonts w:eastAsia="Calibri" w:cs="Arial"/>
          <w:b/>
          <w:sz w:val="20"/>
          <w:szCs w:val="20"/>
          <w:u w:val="single"/>
        </w:rPr>
        <w:t xml:space="preserve">Additional Requirements: </w:t>
      </w:r>
    </w:p>
    <w:p w14:paraId="53410652" w14:textId="77777777" w:rsidR="008A5924" w:rsidRPr="00A57355" w:rsidRDefault="008A5924" w:rsidP="00A57355">
      <w:pPr>
        <w:numPr>
          <w:ilvl w:val="1"/>
          <w:numId w:val="0"/>
        </w:numPr>
        <w:tabs>
          <w:tab w:val="left" w:pos="1620"/>
        </w:tabs>
        <w:spacing w:before="240" w:after="160"/>
        <w:ind w:left="1620" w:hanging="900"/>
        <w:contextualSpacing/>
        <w:jc w:val="both"/>
        <w:rPr>
          <w:rFonts w:eastAsia="Calibri" w:cs="Arial"/>
          <w:b/>
          <w:sz w:val="20"/>
          <w:szCs w:val="20"/>
          <w:u w:val="single"/>
        </w:rPr>
      </w:pPr>
    </w:p>
    <w:p w14:paraId="009C6783" w14:textId="77777777" w:rsidR="00A57355" w:rsidRPr="00A57355" w:rsidRDefault="0018557C" w:rsidP="00A57355">
      <w:pPr>
        <w:spacing w:after="160" w:line="259" w:lineRule="auto"/>
        <w:ind w:firstLine="720"/>
        <w:jc w:val="both"/>
        <w:rPr>
          <w:rFonts w:eastAsia="Calibri"/>
          <w:sz w:val="20"/>
          <w:szCs w:val="20"/>
        </w:rPr>
      </w:pPr>
      <w:r>
        <w:rPr>
          <w:rFonts w:eastAsia="Calibri"/>
          <w:sz w:val="20"/>
          <w:szCs w:val="20"/>
        </w:rPr>
        <w:t xml:space="preserve">    </w:t>
      </w:r>
      <w:r w:rsidR="00A57355" w:rsidRPr="00A57355">
        <w:rPr>
          <w:rFonts w:eastAsia="Calibri"/>
          <w:sz w:val="20"/>
          <w:szCs w:val="20"/>
        </w:rPr>
        <w:t>In addition to the documentation requirements above, each subcontractor must agree to:</w:t>
      </w:r>
    </w:p>
    <w:p w14:paraId="0B3BB967" w14:textId="77777777" w:rsidR="00A57355" w:rsidRPr="00A57355" w:rsidRDefault="008A5924" w:rsidP="008A5924">
      <w:pPr>
        <w:numPr>
          <w:ilvl w:val="2"/>
          <w:numId w:val="0"/>
        </w:numPr>
        <w:tabs>
          <w:tab w:val="left" w:pos="1620"/>
        </w:tabs>
        <w:spacing w:before="240" w:after="160"/>
        <w:ind w:left="1620" w:hanging="900"/>
        <w:contextualSpacing/>
        <w:jc w:val="both"/>
        <w:rPr>
          <w:rFonts w:eastAsia="Calibri" w:cs="Arial"/>
          <w:sz w:val="20"/>
          <w:szCs w:val="20"/>
        </w:rPr>
      </w:pPr>
      <w:r>
        <w:rPr>
          <w:rFonts w:eastAsia="Calibri" w:cs="Arial"/>
          <w:sz w:val="20"/>
          <w:szCs w:val="20"/>
        </w:rPr>
        <w:tab/>
        <w:t xml:space="preserve">• </w:t>
      </w:r>
      <w:r w:rsidR="00A57355" w:rsidRPr="00A57355">
        <w:rPr>
          <w:rFonts w:eastAsia="Calibri" w:cs="Arial"/>
          <w:sz w:val="20"/>
          <w:szCs w:val="20"/>
        </w:rPr>
        <w:t>Participate in safety orientations and document the orientation</w:t>
      </w:r>
      <w:r>
        <w:rPr>
          <w:rFonts w:eastAsia="Calibri" w:cs="Arial"/>
          <w:sz w:val="20"/>
          <w:szCs w:val="20"/>
        </w:rPr>
        <w:t>.</w:t>
      </w:r>
      <w:r w:rsidR="00A57355" w:rsidRPr="00A57355">
        <w:rPr>
          <w:rFonts w:eastAsia="Calibri" w:cs="Arial"/>
          <w:sz w:val="20"/>
          <w:szCs w:val="20"/>
        </w:rPr>
        <w:t xml:space="preserve"> </w:t>
      </w:r>
    </w:p>
    <w:p w14:paraId="0D44495D" w14:textId="77777777" w:rsidR="00A57355" w:rsidRPr="00A57355" w:rsidRDefault="00A57355" w:rsidP="00A57355">
      <w:pPr>
        <w:tabs>
          <w:tab w:val="left" w:pos="1620"/>
        </w:tabs>
        <w:spacing w:before="240" w:after="160"/>
        <w:ind w:left="1620"/>
        <w:contextualSpacing/>
        <w:jc w:val="both"/>
        <w:rPr>
          <w:rFonts w:eastAsia="Calibri" w:cs="Arial"/>
          <w:sz w:val="20"/>
          <w:szCs w:val="20"/>
        </w:rPr>
      </w:pPr>
    </w:p>
    <w:p w14:paraId="0FBF2275" w14:textId="77777777" w:rsidR="00A57355" w:rsidRPr="00A57355" w:rsidRDefault="008A5924" w:rsidP="00A57355">
      <w:pPr>
        <w:numPr>
          <w:ilvl w:val="2"/>
          <w:numId w:val="0"/>
        </w:numPr>
        <w:tabs>
          <w:tab w:val="left" w:pos="1620"/>
        </w:tabs>
        <w:spacing w:before="240" w:after="160"/>
        <w:ind w:left="1620" w:hanging="900"/>
        <w:contextualSpacing/>
        <w:jc w:val="both"/>
        <w:rPr>
          <w:rFonts w:eastAsia="Calibri" w:cs="Arial"/>
          <w:sz w:val="20"/>
          <w:szCs w:val="20"/>
        </w:rPr>
      </w:pPr>
      <w:r>
        <w:rPr>
          <w:rFonts w:eastAsia="Calibri" w:cs="Arial"/>
          <w:sz w:val="20"/>
          <w:szCs w:val="20"/>
        </w:rPr>
        <w:tab/>
        <w:t xml:space="preserve">• </w:t>
      </w:r>
      <w:r w:rsidR="00A57355" w:rsidRPr="00A57355">
        <w:rPr>
          <w:rFonts w:eastAsia="Calibri" w:cs="Arial"/>
          <w:sz w:val="20"/>
          <w:szCs w:val="20"/>
        </w:rPr>
        <w:t xml:space="preserve">Follow all rules set forth </w:t>
      </w:r>
      <w:r>
        <w:rPr>
          <w:rFonts w:eastAsia="Calibri" w:cs="Arial"/>
          <w:sz w:val="20"/>
          <w:szCs w:val="20"/>
        </w:rPr>
        <w:t xml:space="preserve">by the </w:t>
      </w:r>
      <w:r w:rsidR="00A57355" w:rsidRPr="00A57355">
        <w:rPr>
          <w:rFonts w:eastAsia="Calibri" w:cs="Arial"/>
          <w:sz w:val="20"/>
          <w:szCs w:val="20"/>
        </w:rPr>
        <w:t>owner or proje</w:t>
      </w:r>
      <w:r>
        <w:rPr>
          <w:rFonts w:eastAsia="Calibri" w:cs="Arial"/>
          <w:sz w:val="20"/>
          <w:szCs w:val="20"/>
        </w:rPr>
        <w:t>ct-specific safety requirements.</w:t>
      </w:r>
    </w:p>
    <w:p w14:paraId="32999E09" w14:textId="77777777" w:rsidR="00A57355" w:rsidRPr="00A57355" w:rsidRDefault="00A57355" w:rsidP="00A57355">
      <w:pPr>
        <w:tabs>
          <w:tab w:val="left" w:pos="1620"/>
        </w:tabs>
        <w:spacing w:before="240" w:after="160"/>
        <w:ind w:left="1620"/>
        <w:contextualSpacing/>
        <w:jc w:val="both"/>
        <w:rPr>
          <w:rFonts w:eastAsia="Calibri" w:cs="Arial"/>
          <w:sz w:val="20"/>
          <w:szCs w:val="20"/>
        </w:rPr>
      </w:pPr>
    </w:p>
    <w:p w14:paraId="4A5091F4" w14:textId="77777777" w:rsidR="00A57355" w:rsidRPr="00A57355" w:rsidRDefault="008A5924" w:rsidP="00A57355">
      <w:pPr>
        <w:numPr>
          <w:ilvl w:val="2"/>
          <w:numId w:val="0"/>
        </w:numPr>
        <w:tabs>
          <w:tab w:val="left" w:pos="1620"/>
        </w:tabs>
        <w:spacing w:before="240" w:after="160"/>
        <w:ind w:left="1620" w:hanging="900"/>
        <w:contextualSpacing/>
        <w:jc w:val="both"/>
        <w:rPr>
          <w:rFonts w:eastAsia="Calibri" w:cs="Arial"/>
          <w:sz w:val="20"/>
          <w:szCs w:val="20"/>
        </w:rPr>
      </w:pPr>
      <w:r>
        <w:rPr>
          <w:rFonts w:eastAsia="Calibri" w:cs="Arial"/>
          <w:sz w:val="20"/>
          <w:szCs w:val="20"/>
        </w:rPr>
        <w:tab/>
        <w:t xml:space="preserve">• </w:t>
      </w:r>
      <w:r w:rsidR="00A57355" w:rsidRPr="00A57355">
        <w:rPr>
          <w:rFonts w:eastAsia="Calibri" w:cs="Arial"/>
          <w:sz w:val="20"/>
          <w:szCs w:val="20"/>
        </w:rPr>
        <w:t>Provide the necessary training to their employees as it pertains to Title 29, Code of Federal</w:t>
      </w:r>
      <w:r>
        <w:rPr>
          <w:rFonts w:eastAsia="Calibri" w:cs="Arial"/>
          <w:sz w:val="20"/>
          <w:szCs w:val="20"/>
        </w:rPr>
        <w:t xml:space="preserve"> Regulations Part 1926 and 1910, and NFPA 70e.</w:t>
      </w:r>
    </w:p>
    <w:p w14:paraId="0FFC1533" w14:textId="77777777" w:rsidR="00A57355" w:rsidRPr="00A57355" w:rsidRDefault="00A57355" w:rsidP="00A57355">
      <w:pPr>
        <w:tabs>
          <w:tab w:val="left" w:pos="1620"/>
        </w:tabs>
        <w:spacing w:before="240" w:after="160"/>
        <w:ind w:left="1620"/>
        <w:contextualSpacing/>
        <w:jc w:val="both"/>
        <w:rPr>
          <w:rFonts w:eastAsia="Calibri" w:cs="Arial"/>
          <w:sz w:val="20"/>
          <w:szCs w:val="20"/>
        </w:rPr>
      </w:pPr>
    </w:p>
    <w:p w14:paraId="54C5EF56" w14:textId="77777777" w:rsidR="00A57355" w:rsidRPr="00A57355" w:rsidRDefault="008A5924" w:rsidP="00A57355">
      <w:pPr>
        <w:numPr>
          <w:ilvl w:val="2"/>
          <w:numId w:val="0"/>
        </w:numPr>
        <w:tabs>
          <w:tab w:val="left" w:pos="1620"/>
        </w:tabs>
        <w:spacing w:before="240" w:after="160"/>
        <w:ind w:left="1620" w:hanging="900"/>
        <w:contextualSpacing/>
        <w:jc w:val="both"/>
        <w:rPr>
          <w:rFonts w:eastAsia="Calibri" w:cs="Arial"/>
          <w:sz w:val="20"/>
          <w:szCs w:val="20"/>
        </w:rPr>
      </w:pPr>
      <w:r>
        <w:rPr>
          <w:rFonts w:eastAsia="Calibri" w:cs="Arial"/>
          <w:sz w:val="20"/>
          <w:szCs w:val="20"/>
        </w:rPr>
        <w:tab/>
        <w:t xml:space="preserve">• </w:t>
      </w:r>
      <w:r w:rsidR="00A57355" w:rsidRPr="00A57355">
        <w:rPr>
          <w:rFonts w:eastAsia="Calibri" w:cs="Arial"/>
          <w:sz w:val="20"/>
          <w:szCs w:val="20"/>
        </w:rPr>
        <w:t>Perform periodic safety inspections of the job site to ensure compliance w</w:t>
      </w:r>
      <w:r>
        <w:rPr>
          <w:rFonts w:eastAsia="Calibri" w:cs="Arial"/>
          <w:sz w:val="20"/>
          <w:szCs w:val="20"/>
        </w:rPr>
        <w:t>ith the job site safety program.</w:t>
      </w:r>
    </w:p>
    <w:p w14:paraId="487B9DB8" w14:textId="77777777" w:rsidR="00A57355" w:rsidRPr="00A57355" w:rsidRDefault="00A57355" w:rsidP="00A57355">
      <w:pPr>
        <w:tabs>
          <w:tab w:val="left" w:pos="1620"/>
        </w:tabs>
        <w:spacing w:before="240" w:after="160"/>
        <w:ind w:left="1620"/>
        <w:contextualSpacing/>
        <w:jc w:val="both"/>
        <w:rPr>
          <w:rFonts w:eastAsia="Calibri" w:cs="Arial"/>
          <w:sz w:val="20"/>
          <w:szCs w:val="20"/>
        </w:rPr>
      </w:pPr>
    </w:p>
    <w:p w14:paraId="495E6FC3" w14:textId="77777777" w:rsidR="00A57355" w:rsidRPr="00A57355" w:rsidRDefault="008A5924" w:rsidP="00A57355">
      <w:pPr>
        <w:numPr>
          <w:ilvl w:val="2"/>
          <w:numId w:val="0"/>
        </w:numPr>
        <w:tabs>
          <w:tab w:val="left" w:pos="1620"/>
        </w:tabs>
        <w:spacing w:before="240" w:after="160"/>
        <w:ind w:left="1620" w:hanging="900"/>
        <w:contextualSpacing/>
        <w:jc w:val="both"/>
        <w:rPr>
          <w:rFonts w:eastAsia="Calibri" w:cs="Arial"/>
          <w:sz w:val="20"/>
          <w:szCs w:val="20"/>
        </w:rPr>
      </w:pPr>
      <w:r>
        <w:rPr>
          <w:rFonts w:eastAsia="Calibri" w:cs="Arial"/>
          <w:sz w:val="20"/>
          <w:szCs w:val="20"/>
        </w:rPr>
        <w:tab/>
        <w:t xml:space="preserve">• </w:t>
      </w:r>
      <w:r w:rsidR="00A57355" w:rsidRPr="00A57355">
        <w:rPr>
          <w:rFonts w:eastAsia="Calibri" w:cs="Arial"/>
          <w:sz w:val="20"/>
          <w:szCs w:val="20"/>
        </w:rPr>
        <w:t xml:space="preserve">Immediately report ALL accidents and injuries to the </w:t>
      </w:r>
      <w:r>
        <w:rPr>
          <w:rFonts w:eastAsia="Calibri" w:cs="Arial"/>
          <w:sz w:val="20"/>
          <w:szCs w:val="20"/>
        </w:rPr>
        <w:t>PSG</w:t>
      </w:r>
      <w:r w:rsidR="00A57355" w:rsidRPr="00A57355">
        <w:rPr>
          <w:rFonts w:eastAsia="Calibri" w:cs="Arial"/>
          <w:sz w:val="20"/>
          <w:szCs w:val="20"/>
        </w:rPr>
        <w:t xml:space="preserve"> Superintendent and train their employees in the project-specific Emergency Act</w:t>
      </w:r>
      <w:r>
        <w:rPr>
          <w:rFonts w:eastAsia="Calibri" w:cs="Arial"/>
          <w:sz w:val="20"/>
          <w:szCs w:val="20"/>
        </w:rPr>
        <w:t>ion Plan or other requirements.</w:t>
      </w:r>
    </w:p>
    <w:p w14:paraId="46F27676" w14:textId="77777777" w:rsidR="008A5924" w:rsidRDefault="008A5924" w:rsidP="00A57355">
      <w:pPr>
        <w:numPr>
          <w:ilvl w:val="1"/>
          <w:numId w:val="0"/>
        </w:numPr>
        <w:tabs>
          <w:tab w:val="left" w:pos="1620"/>
        </w:tabs>
        <w:spacing w:before="240" w:after="160"/>
        <w:ind w:left="1620" w:hanging="900"/>
        <w:contextualSpacing/>
        <w:jc w:val="both"/>
        <w:rPr>
          <w:rFonts w:eastAsia="Calibri" w:cs="Arial"/>
          <w:b/>
          <w:sz w:val="20"/>
          <w:szCs w:val="20"/>
        </w:rPr>
      </w:pPr>
    </w:p>
    <w:p w14:paraId="5EB778EA" w14:textId="77777777" w:rsidR="00A57355" w:rsidRDefault="008A5924" w:rsidP="008A5924">
      <w:pPr>
        <w:numPr>
          <w:ilvl w:val="1"/>
          <w:numId w:val="0"/>
        </w:numPr>
        <w:tabs>
          <w:tab w:val="left" w:pos="1620"/>
        </w:tabs>
        <w:spacing w:before="240" w:after="160"/>
        <w:ind w:left="900" w:hanging="900"/>
        <w:contextualSpacing/>
        <w:jc w:val="both"/>
        <w:rPr>
          <w:rFonts w:eastAsia="Calibri" w:cs="Arial"/>
          <w:b/>
          <w:sz w:val="20"/>
          <w:szCs w:val="20"/>
          <w:u w:val="single"/>
        </w:rPr>
      </w:pPr>
      <w:r w:rsidRPr="008A5924">
        <w:rPr>
          <w:rFonts w:eastAsia="Calibri" w:cs="Arial"/>
          <w:sz w:val="20"/>
          <w:szCs w:val="20"/>
        </w:rPr>
        <w:tab/>
      </w:r>
      <w:r w:rsidR="00A57355" w:rsidRPr="00A57355">
        <w:rPr>
          <w:rFonts w:eastAsia="Calibri" w:cs="Arial"/>
          <w:b/>
          <w:sz w:val="20"/>
          <w:szCs w:val="20"/>
          <w:u w:val="single"/>
        </w:rPr>
        <w:t>Subcontractor Compliance</w:t>
      </w:r>
      <w:r>
        <w:rPr>
          <w:rFonts w:eastAsia="Calibri" w:cs="Arial"/>
          <w:b/>
          <w:sz w:val="20"/>
          <w:szCs w:val="20"/>
          <w:u w:val="single"/>
        </w:rPr>
        <w:t>:</w:t>
      </w:r>
    </w:p>
    <w:p w14:paraId="3FA68000" w14:textId="77777777" w:rsidR="008A5924" w:rsidRPr="00A57355" w:rsidRDefault="008A5924" w:rsidP="00A57355">
      <w:pPr>
        <w:numPr>
          <w:ilvl w:val="1"/>
          <w:numId w:val="0"/>
        </w:numPr>
        <w:tabs>
          <w:tab w:val="left" w:pos="1620"/>
        </w:tabs>
        <w:spacing w:before="240" w:after="160"/>
        <w:ind w:left="1620" w:hanging="900"/>
        <w:contextualSpacing/>
        <w:jc w:val="both"/>
        <w:rPr>
          <w:rFonts w:eastAsia="Calibri" w:cs="Arial"/>
          <w:b/>
          <w:sz w:val="20"/>
          <w:szCs w:val="20"/>
          <w:u w:val="single"/>
        </w:rPr>
      </w:pPr>
    </w:p>
    <w:p w14:paraId="7189556A" w14:textId="77777777" w:rsidR="00A57355" w:rsidRPr="00A57355" w:rsidRDefault="008A5924" w:rsidP="008A5924">
      <w:pPr>
        <w:numPr>
          <w:ilvl w:val="2"/>
          <w:numId w:val="0"/>
        </w:numPr>
        <w:tabs>
          <w:tab w:val="left" w:pos="1620"/>
        </w:tabs>
        <w:spacing w:before="240" w:after="160"/>
        <w:ind w:left="900" w:hanging="900"/>
        <w:contextualSpacing/>
        <w:jc w:val="both"/>
        <w:rPr>
          <w:rFonts w:eastAsia="Calibri" w:cs="Arial"/>
          <w:sz w:val="20"/>
          <w:szCs w:val="20"/>
        </w:rPr>
      </w:pPr>
      <w:r>
        <w:rPr>
          <w:rFonts w:eastAsia="Calibri" w:cs="Arial"/>
          <w:sz w:val="20"/>
          <w:szCs w:val="20"/>
        </w:rPr>
        <w:tab/>
      </w:r>
      <w:r w:rsidR="00A57355" w:rsidRPr="00A57355">
        <w:rPr>
          <w:rFonts w:eastAsia="Calibri" w:cs="Arial"/>
          <w:sz w:val="20"/>
          <w:szCs w:val="20"/>
        </w:rPr>
        <w:t>Violations by subcontractors and their employees will be documented</w:t>
      </w:r>
      <w:r>
        <w:rPr>
          <w:rFonts w:eastAsia="Calibri" w:cs="Arial"/>
          <w:sz w:val="20"/>
          <w:szCs w:val="20"/>
        </w:rPr>
        <w:t>.</w:t>
      </w:r>
      <w:r w:rsidR="00A57355" w:rsidRPr="00A57355">
        <w:rPr>
          <w:rFonts w:eastAsia="Calibri" w:cs="Arial"/>
          <w:sz w:val="20"/>
          <w:szCs w:val="20"/>
        </w:rPr>
        <w:t xml:space="preserve"> </w:t>
      </w:r>
    </w:p>
    <w:p w14:paraId="3C9EC668" w14:textId="77777777" w:rsidR="00A57355" w:rsidRPr="00A57355" w:rsidRDefault="00A57355" w:rsidP="00A57355">
      <w:pPr>
        <w:tabs>
          <w:tab w:val="left" w:pos="1620"/>
        </w:tabs>
        <w:spacing w:before="240" w:after="160"/>
        <w:ind w:right="390"/>
        <w:contextualSpacing/>
        <w:jc w:val="both"/>
        <w:rPr>
          <w:rFonts w:eastAsia="Calibri" w:cs="Arial"/>
          <w:sz w:val="20"/>
          <w:szCs w:val="20"/>
        </w:rPr>
      </w:pPr>
    </w:p>
    <w:p w14:paraId="322E6A36" w14:textId="77777777" w:rsidR="00A57355" w:rsidRDefault="008A5924" w:rsidP="008A5924">
      <w:pPr>
        <w:numPr>
          <w:ilvl w:val="2"/>
          <w:numId w:val="0"/>
        </w:numPr>
        <w:tabs>
          <w:tab w:val="left" w:pos="1620"/>
        </w:tabs>
        <w:spacing w:before="240" w:after="160"/>
        <w:ind w:left="900" w:hanging="900"/>
        <w:contextualSpacing/>
        <w:jc w:val="both"/>
        <w:rPr>
          <w:rFonts w:eastAsia="Calibri" w:cs="Arial"/>
          <w:sz w:val="20"/>
          <w:szCs w:val="20"/>
        </w:rPr>
      </w:pPr>
      <w:r>
        <w:rPr>
          <w:rFonts w:eastAsia="Calibri" w:cs="Arial"/>
          <w:sz w:val="20"/>
          <w:szCs w:val="20"/>
        </w:rPr>
        <w:tab/>
        <w:t>PSG</w:t>
      </w:r>
      <w:r w:rsidR="00A57355" w:rsidRPr="00A57355">
        <w:rPr>
          <w:rFonts w:eastAsia="Calibri" w:cs="Arial"/>
          <w:sz w:val="20"/>
          <w:szCs w:val="20"/>
        </w:rPr>
        <w:t xml:space="preserve"> job sites reserve the rig</w:t>
      </w:r>
      <w:r>
        <w:rPr>
          <w:rFonts w:eastAsia="Calibri" w:cs="Arial"/>
          <w:sz w:val="20"/>
          <w:szCs w:val="20"/>
        </w:rPr>
        <w:t>ht to make modifications to this</w:t>
      </w:r>
      <w:r w:rsidR="00A57355" w:rsidRPr="00A57355">
        <w:rPr>
          <w:rFonts w:eastAsia="Calibri" w:cs="Arial"/>
          <w:sz w:val="20"/>
          <w:szCs w:val="20"/>
        </w:rPr>
        <w:t xml:space="preserve"> </w:t>
      </w:r>
      <w:r>
        <w:rPr>
          <w:rFonts w:eastAsia="Calibri" w:cs="Arial"/>
          <w:sz w:val="20"/>
          <w:szCs w:val="20"/>
        </w:rPr>
        <w:t xml:space="preserve">policy and remove subcontractor </w:t>
      </w:r>
      <w:r w:rsidR="00A57355" w:rsidRPr="00A57355">
        <w:rPr>
          <w:rFonts w:eastAsia="Calibri" w:cs="Arial"/>
          <w:sz w:val="20"/>
          <w:szCs w:val="20"/>
        </w:rPr>
        <w:t xml:space="preserve">employees as it deems necessary for safety violations.      </w:t>
      </w:r>
    </w:p>
    <w:p w14:paraId="39AD58B5" w14:textId="77777777" w:rsidR="00FD687E" w:rsidRDefault="00FD687E" w:rsidP="008A5924">
      <w:pPr>
        <w:numPr>
          <w:ilvl w:val="2"/>
          <w:numId w:val="0"/>
        </w:numPr>
        <w:tabs>
          <w:tab w:val="left" w:pos="1620"/>
        </w:tabs>
        <w:spacing w:before="240" w:after="160"/>
        <w:ind w:left="900" w:hanging="900"/>
        <w:contextualSpacing/>
        <w:jc w:val="both"/>
        <w:rPr>
          <w:rFonts w:eastAsia="Calibri" w:cs="Arial"/>
          <w:sz w:val="20"/>
          <w:szCs w:val="20"/>
        </w:rPr>
      </w:pPr>
    </w:p>
    <w:p w14:paraId="4A30EF58" w14:textId="77777777" w:rsidR="00FD687E" w:rsidRDefault="00FD687E" w:rsidP="00FD687E">
      <w:pPr>
        <w:numPr>
          <w:ilvl w:val="2"/>
          <w:numId w:val="0"/>
        </w:numPr>
        <w:tabs>
          <w:tab w:val="left" w:pos="1620"/>
        </w:tabs>
        <w:spacing w:before="240" w:after="160"/>
        <w:ind w:left="900" w:hanging="900"/>
        <w:contextualSpacing/>
        <w:jc w:val="center"/>
        <w:rPr>
          <w:rFonts w:eastAsia="Calibri" w:cs="Arial"/>
          <w:b/>
          <w:szCs w:val="22"/>
          <w:u w:val="single"/>
        </w:rPr>
      </w:pPr>
    </w:p>
    <w:p w14:paraId="525AE9C5" w14:textId="77777777" w:rsidR="00FD687E" w:rsidRDefault="00FD687E" w:rsidP="00FD687E">
      <w:pPr>
        <w:numPr>
          <w:ilvl w:val="2"/>
          <w:numId w:val="0"/>
        </w:numPr>
        <w:tabs>
          <w:tab w:val="left" w:pos="1620"/>
        </w:tabs>
        <w:spacing w:before="240" w:after="160"/>
        <w:ind w:left="900" w:hanging="900"/>
        <w:contextualSpacing/>
        <w:jc w:val="center"/>
        <w:rPr>
          <w:rFonts w:eastAsia="Calibri" w:cs="Arial"/>
          <w:b/>
          <w:szCs w:val="22"/>
          <w:u w:val="single"/>
        </w:rPr>
      </w:pPr>
      <w:r w:rsidRPr="00FD687E">
        <w:rPr>
          <w:rFonts w:eastAsia="Calibri" w:cs="Arial"/>
          <w:b/>
          <w:szCs w:val="22"/>
          <w:u w:val="single"/>
        </w:rPr>
        <w:t>Temporary Workers</w:t>
      </w:r>
    </w:p>
    <w:p w14:paraId="04C70C80" w14:textId="77777777" w:rsidR="00FD687E" w:rsidRDefault="00FD687E" w:rsidP="00FD687E">
      <w:pPr>
        <w:numPr>
          <w:ilvl w:val="2"/>
          <w:numId w:val="0"/>
        </w:numPr>
        <w:tabs>
          <w:tab w:val="left" w:pos="1620"/>
        </w:tabs>
        <w:spacing w:before="240" w:after="160"/>
        <w:ind w:left="900" w:hanging="900"/>
        <w:contextualSpacing/>
        <w:rPr>
          <w:rFonts w:eastAsia="Calibri" w:cs="Arial"/>
          <w:sz w:val="20"/>
          <w:szCs w:val="20"/>
        </w:rPr>
      </w:pPr>
    </w:p>
    <w:p w14:paraId="63374D7C" w14:textId="77777777" w:rsidR="00FD687E" w:rsidRPr="00F431DA" w:rsidRDefault="00FD687E" w:rsidP="00FD687E">
      <w:pPr>
        <w:jc w:val="both"/>
        <w:rPr>
          <w:b/>
          <w:szCs w:val="22"/>
        </w:rPr>
      </w:pPr>
    </w:p>
    <w:p w14:paraId="5BA476B8" w14:textId="77777777" w:rsidR="00FD687E" w:rsidRDefault="00FD687E" w:rsidP="00FD687E">
      <w:pPr>
        <w:jc w:val="both"/>
        <w:rPr>
          <w:rFonts w:eastAsia="Calibri"/>
          <w:sz w:val="20"/>
          <w:szCs w:val="20"/>
        </w:rPr>
      </w:pPr>
      <w:r w:rsidRPr="00A57355">
        <w:rPr>
          <w:sz w:val="20"/>
          <w:szCs w:val="20"/>
        </w:rPr>
        <w:t xml:space="preserve">Piedmont Service Group (PSG) is </w:t>
      </w:r>
      <w:r w:rsidRPr="00A57355">
        <w:rPr>
          <w:rFonts w:eastAsia="Calibri"/>
          <w:sz w:val="20"/>
          <w:szCs w:val="20"/>
        </w:rPr>
        <w:t xml:space="preserve">committed to providing a safe workplace for all workers. </w:t>
      </w:r>
      <w:r>
        <w:rPr>
          <w:rFonts w:eastAsia="Calibri"/>
          <w:sz w:val="20"/>
          <w:szCs w:val="20"/>
        </w:rPr>
        <w:t>At times</w:t>
      </w:r>
      <w:r w:rsidR="00BF46A7">
        <w:rPr>
          <w:rFonts w:eastAsia="Calibri"/>
          <w:sz w:val="20"/>
          <w:szCs w:val="20"/>
        </w:rPr>
        <w:t>,</w:t>
      </w:r>
      <w:r>
        <w:rPr>
          <w:rFonts w:eastAsia="Calibri"/>
          <w:sz w:val="20"/>
          <w:szCs w:val="20"/>
        </w:rPr>
        <w:t xml:space="preserve"> extra help is </w:t>
      </w:r>
      <w:proofErr w:type="gramStart"/>
      <w:r>
        <w:rPr>
          <w:rFonts w:eastAsia="Calibri"/>
          <w:sz w:val="20"/>
          <w:szCs w:val="20"/>
        </w:rPr>
        <w:t>needed</w:t>
      </w:r>
      <w:proofErr w:type="gramEnd"/>
      <w:r>
        <w:rPr>
          <w:rFonts w:eastAsia="Calibri"/>
          <w:sz w:val="20"/>
          <w:szCs w:val="20"/>
        </w:rPr>
        <w:t xml:space="preserve"> and this may come from a temporary staffing source. All temporary workers are required to follow all PSG regulations. This includes a new hire orientation and specific training that may be needed such as </w:t>
      </w:r>
      <w:proofErr w:type="gramStart"/>
      <w:r>
        <w:rPr>
          <w:rFonts w:eastAsia="Calibri"/>
          <w:sz w:val="20"/>
          <w:szCs w:val="20"/>
        </w:rPr>
        <w:t>scissor</w:t>
      </w:r>
      <w:proofErr w:type="gramEnd"/>
      <w:r>
        <w:rPr>
          <w:rFonts w:eastAsia="Calibri"/>
          <w:sz w:val="20"/>
          <w:szCs w:val="20"/>
        </w:rPr>
        <w:t xml:space="preserve"> lift or using a powder actuated tool. This training will occur before we use them onsite.</w:t>
      </w:r>
    </w:p>
    <w:p w14:paraId="4F6B6788" w14:textId="77777777" w:rsidR="00FD687E" w:rsidRDefault="00FD687E" w:rsidP="00FD687E">
      <w:pPr>
        <w:jc w:val="both"/>
        <w:rPr>
          <w:rFonts w:eastAsia="Calibri"/>
          <w:sz w:val="20"/>
          <w:szCs w:val="20"/>
        </w:rPr>
      </w:pPr>
    </w:p>
    <w:p w14:paraId="666F9B74" w14:textId="77777777" w:rsidR="00FD687E" w:rsidRDefault="00FD687E" w:rsidP="00FD687E">
      <w:pPr>
        <w:jc w:val="both"/>
        <w:rPr>
          <w:rFonts w:eastAsia="Calibri"/>
          <w:sz w:val="20"/>
          <w:szCs w:val="20"/>
        </w:rPr>
      </w:pPr>
      <w:r>
        <w:rPr>
          <w:rFonts w:eastAsia="Calibri"/>
          <w:sz w:val="20"/>
          <w:szCs w:val="20"/>
        </w:rPr>
        <w:t>When the workers are with us on our scheduled safety meeting day, they will join us at the designated location.</w:t>
      </w:r>
    </w:p>
    <w:p w14:paraId="62ABA32E" w14:textId="77777777" w:rsidR="00BF46A7" w:rsidRDefault="00BF46A7" w:rsidP="00FD687E">
      <w:pPr>
        <w:jc w:val="both"/>
        <w:rPr>
          <w:rFonts w:eastAsia="Calibri"/>
          <w:sz w:val="20"/>
          <w:szCs w:val="20"/>
        </w:rPr>
      </w:pPr>
    </w:p>
    <w:p w14:paraId="6DA00715" w14:textId="77777777" w:rsidR="00FD687E" w:rsidRPr="00A57355" w:rsidRDefault="00FD687E" w:rsidP="00FD687E">
      <w:pPr>
        <w:jc w:val="both"/>
        <w:rPr>
          <w:rFonts w:eastAsia="Calibri"/>
          <w:sz w:val="20"/>
          <w:szCs w:val="20"/>
        </w:rPr>
      </w:pPr>
      <w:r>
        <w:rPr>
          <w:rFonts w:eastAsia="Calibri"/>
          <w:sz w:val="20"/>
          <w:szCs w:val="20"/>
        </w:rPr>
        <w:t xml:space="preserve">Temporary workers will also be </w:t>
      </w:r>
      <w:proofErr w:type="gramStart"/>
      <w:r>
        <w:rPr>
          <w:rFonts w:eastAsia="Calibri"/>
          <w:sz w:val="20"/>
          <w:szCs w:val="20"/>
        </w:rPr>
        <w:t>supervised at all times</w:t>
      </w:r>
      <w:proofErr w:type="gramEnd"/>
      <w:r w:rsidR="00BF46A7">
        <w:rPr>
          <w:rFonts w:eastAsia="Calibri"/>
          <w:sz w:val="20"/>
          <w:szCs w:val="20"/>
        </w:rPr>
        <w:t xml:space="preserve">. If they do not have the correct PPE for the task, we will provide it. When the workers are with </w:t>
      </w:r>
      <w:proofErr w:type="gramStart"/>
      <w:r w:rsidR="00BF46A7">
        <w:rPr>
          <w:rFonts w:eastAsia="Calibri"/>
          <w:sz w:val="20"/>
          <w:szCs w:val="20"/>
        </w:rPr>
        <w:t>us</w:t>
      </w:r>
      <w:proofErr w:type="gramEnd"/>
      <w:r w:rsidR="00BF46A7">
        <w:rPr>
          <w:rFonts w:eastAsia="Calibri"/>
          <w:sz w:val="20"/>
          <w:szCs w:val="20"/>
        </w:rPr>
        <w:t xml:space="preserve"> they are PSG. A </w:t>
      </w:r>
      <w:proofErr w:type="gramStart"/>
      <w:r w:rsidR="00BF46A7">
        <w:rPr>
          <w:rFonts w:eastAsia="Calibri"/>
          <w:sz w:val="20"/>
          <w:szCs w:val="20"/>
        </w:rPr>
        <w:t>third party</w:t>
      </w:r>
      <w:proofErr w:type="gramEnd"/>
      <w:r w:rsidR="00BF46A7">
        <w:rPr>
          <w:rFonts w:eastAsia="Calibri"/>
          <w:sz w:val="20"/>
          <w:szCs w:val="20"/>
        </w:rPr>
        <w:t xml:space="preserve"> training provider may be used to provide the training if cleared through the Safety Director first.</w:t>
      </w:r>
      <w:r w:rsidRPr="00A57355">
        <w:rPr>
          <w:rFonts w:eastAsia="Calibri"/>
          <w:sz w:val="20"/>
          <w:szCs w:val="20"/>
        </w:rPr>
        <w:t xml:space="preserve"> </w:t>
      </w:r>
    </w:p>
    <w:p w14:paraId="2F3C95A2" w14:textId="77777777" w:rsidR="00A57355" w:rsidRPr="00A57355" w:rsidRDefault="00564B3B" w:rsidP="00564B3B">
      <w:pPr>
        <w:numPr>
          <w:ilvl w:val="2"/>
          <w:numId w:val="0"/>
        </w:numPr>
        <w:tabs>
          <w:tab w:val="left" w:pos="6684"/>
        </w:tabs>
        <w:spacing w:before="240" w:after="160"/>
        <w:ind w:left="900" w:hanging="900"/>
        <w:contextualSpacing/>
        <w:jc w:val="both"/>
        <w:rPr>
          <w:rFonts w:eastAsia="Calibri"/>
          <w:sz w:val="20"/>
          <w:szCs w:val="20"/>
        </w:rPr>
      </w:pPr>
      <w:r>
        <w:rPr>
          <w:rFonts w:eastAsia="Calibri" w:cs="Arial"/>
          <w:sz w:val="20"/>
          <w:szCs w:val="20"/>
        </w:rPr>
        <w:tab/>
      </w:r>
      <w:r>
        <w:rPr>
          <w:rFonts w:eastAsia="Calibri" w:cs="Arial"/>
          <w:sz w:val="20"/>
          <w:szCs w:val="20"/>
        </w:rPr>
        <w:tab/>
      </w:r>
    </w:p>
    <w:p w14:paraId="42453BFF" w14:textId="77777777" w:rsidR="00A57355" w:rsidRPr="00A57355" w:rsidRDefault="00A57355" w:rsidP="00A57355">
      <w:pPr>
        <w:spacing w:after="160" w:line="259" w:lineRule="auto"/>
        <w:jc w:val="both"/>
        <w:rPr>
          <w:rFonts w:eastAsia="Calibri"/>
          <w:sz w:val="20"/>
          <w:szCs w:val="20"/>
        </w:rPr>
      </w:pPr>
    </w:p>
    <w:p w14:paraId="751B7ECC" w14:textId="77777777" w:rsidR="00A57355" w:rsidRPr="00A57355" w:rsidRDefault="00A57355" w:rsidP="00A57355">
      <w:pPr>
        <w:spacing w:after="160" w:line="259" w:lineRule="auto"/>
        <w:jc w:val="both"/>
        <w:rPr>
          <w:rFonts w:eastAsia="Calibri"/>
          <w:sz w:val="20"/>
          <w:szCs w:val="20"/>
        </w:rPr>
      </w:pPr>
    </w:p>
    <w:p w14:paraId="3ADC5E28" w14:textId="77777777" w:rsidR="00A57355" w:rsidRPr="00A57355" w:rsidRDefault="00A57355" w:rsidP="00A57355">
      <w:pPr>
        <w:tabs>
          <w:tab w:val="left" w:pos="1620"/>
        </w:tabs>
        <w:spacing w:before="240" w:after="160"/>
        <w:ind w:left="1620"/>
        <w:contextualSpacing/>
        <w:jc w:val="both"/>
        <w:rPr>
          <w:rFonts w:eastAsia="Calibri" w:cs="Arial"/>
          <w:sz w:val="20"/>
          <w:szCs w:val="20"/>
        </w:rPr>
      </w:pPr>
    </w:p>
    <w:p w14:paraId="3314FCB9" w14:textId="77777777" w:rsidR="00A57355" w:rsidRPr="00A57355" w:rsidRDefault="00A57355" w:rsidP="00A57355">
      <w:pPr>
        <w:jc w:val="both"/>
        <w:rPr>
          <w:snapToGrid w:val="0"/>
          <w:color w:val="000000"/>
          <w:sz w:val="20"/>
          <w:szCs w:val="20"/>
        </w:rPr>
      </w:pPr>
    </w:p>
    <w:p w14:paraId="47301707" w14:textId="77777777" w:rsidR="00771E5D" w:rsidRPr="00A57355" w:rsidRDefault="00771E5D" w:rsidP="00A57355">
      <w:pPr>
        <w:jc w:val="both"/>
        <w:rPr>
          <w:snapToGrid w:val="0"/>
          <w:color w:val="000000"/>
          <w:sz w:val="20"/>
          <w:szCs w:val="20"/>
        </w:rPr>
      </w:pPr>
    </w:p>
    <w:sectPr w:rsidR="00771E5D" w:rsidRPr="00A57355" w:rsidSect="00137363">
      <w:headerReference w:type="default" r:id="rId9"/>
      <w:footerReference w:type="default" r:id="rId10"/>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3CBAC" w14:textId="77777777" w:rsidR="004101BE" w:rsidRDefault="004101BE">
      <w:r>
        <w:separator/>
      </w:r>
    </w:p>
  </w:endnote>
  <w:endnote w:type="continuationSeparator" w:id="0">
    <w:p w14:paraId="4929EC78" w14:textId="77777777" w:rsidR="004101BE" w:rsidRDefault="0041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Roma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45035" w14:textId="74AC7EE3" w:rsidR="00000000" w:rsidRDefault="00137363">
    <w:pPr>
      <w:pStyle w:val="Footer"/>
      <w:jc w:val="center"/>
      <w:rPr>
        <w:rFonts w:ascii="Book Antiqua" w:hAnsi="Book Antiqua"/>
        <w:snapToGrid w:val="0"/>
        <w:sz w:val="22"/>
      </w:rPr>
    </w:pPr>
    <w:r w:rsidRPr="00137363">
      <w:rPr>
        <w:rFonts w:ascii="Book Antiqua" w:hAnsi="Book Antiqua"/>
        <w:noProof/>
        <w:snapToGrid w:val="0"/>
        <w:sz w:val="22"/>
      </w:rPr>
      <w:drawing>
        <wp:inline distT="0" distB="0" distL="0" distR="0" wp14:anchorId="1B6AD416" wp14:editId="305434F7">
          <wp:extent cx="1767840" cy="415925"/>
          <wp:effectExtent l="0" t="0" r="3810" b="3175"/>
          <wp:docPr id="1" name="Picture 1" descr="C:\Users\bdesrosiers\Desktop\EmailSignature_SmallJP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bdesrosiers\Desktop\EmailSignature_Small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8499" cy="416080"/>
                  </a:xfrm>
                  <a:prstGeom prst="rect">
                    <a:avLst/>
                  </a:prstGeom>
                  <a:noFill/>
                  <a:ln>
                    <a:noFill/>
                  </a:ln>
                </pic:spPr>
              </pic:pic>
            </a:graphicData>
          </a:graphic>
        </wp:inline>
      </w:drawing>
    </w:r>
    <w:r w:rsidRPr="00137363">
      <w:rPr>
        <w:rFonts w:ascii="HelveticaNeue-Roman" w:hAnsi="HelveticaNeue-Roman"/>
        <w:noProof/>
        <w:snapToGrid w:val="0"/>
        <w:color w:val="808080" w:themeColor="background1" w:themeShade="80"/>
        <w:sz w:val="16"/>
      </w:rPr>
      <mc:AlternateContent>
        <mc:Choice Requires="wpg">
          <w:drawing>
            <wp:anchor distT="0" distB="0" distL="0" distR="0" simplePos="0" relativeHeight="251662336" behindDoc="0" locked="0" layoutInCell="1" allowOverlap="1" wp14:anchorId="6C570A22">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sz w:val="28"/>
                                <w:szCs w:val="28"/>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68B8AE6F" w14:textId="77777777" w:rsidR="00137363" w:rsidRDefault="006A6FC1">
                                <w:pPr>
                                  <w:jc w:val="right"/>
                                  <w:rPr>
                                    <w:color w:val="7F7F7F" w:themeColor="text1" w:themeTint="80"/>
                                  </w:rPr>
                                </w:pPr>
                                <w:r>
                                  <w:rPr>
                                    <w:color w:val="7F7F7F" w:themeColor="text1" w:themeTint="80"/>
                                    <w:sz w:val="28"/>
                                    <w:szCs w:val="28"/>
                                  </w:rPr>
                                  <w:t>34</w:t>
                                </w:r>
                              </w:p>
                            </w:sdtContent>
                          </w:sdt>
                          <w:p w14:paraId="1008CEDD" w14:textId="77777777" w:rsidR="00137363" w:rsidRDefault="00137363">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6C570A22" id="Group 37" o:spid="_x0000_s1026" style="position:absolute;left:0;text-align:left;margin-left:416.8pt;margin-top:0;width:468pt;height:25.2pt;z-index:251662336;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sz w:val="28"/>
                          <w:szCs w:val="28"/>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68B8AE6F" w14:textId="77777777" w:rsidR="00137363" w:rsidRDefault="006A6FC1">
                          <w:pPr>
                            <w:jc w:val="right"/>
                            <w:rPr>
                              <w:color w:val="7F7F7F" w:themeColor="text1" w:themeTint="80"/>
                            </w:rPr>
                          </w:pPr>
                          <w:r>
                            <w:rPr>
                              <w:color w:val="7F7F7F" w:themeColor="text1" w:themeTint="80"/>
                              <w:sz w:val="28"/>
                              <w:szCs w:val="28"/>
                            </w:rPr>
                            <w:t>34</w:t>
                          </w:r>
                        </w:p>
                      </w:sdtContent>
                    </w:sdt>
                    <w:p w14:paraId="1008CEDD" w14:textId="77777777" w:rsidR="00137363" w:rsidRDefault="00137363">
                      <w:pPr>
                        <w:jc w:val="right"/>
                        <w:rPr>
                          <w:color w:val="808080" w:themeColor="background1" w:themeShade="80"/>
                        </w:rPr>
                      </w:pPr>
                    </w:p>
                  </w:txbxContent>
                </v:textbox>
              </v:shape>
              <w10:wrap type="square" anchorx="margin" anchory="margin"/>
            </v:group>
          </w:pict>
        </mc:Fallback>
      </mc:AlternateContent>
    </w:r>
    <w:r w:rsidRPr="00137363">
      <w:rPr>
        <w:rFonts w:ascii="HelveticaNeue-Roman" w:hAnsi="HelveticaNeue-Roman"/>
        <w:noProof/>
        <w:snapToGrid w:val="0"/>
        <w:sz w:val="16"/>
      </w:rPr>
      <mc:AlternateContent>
        <mc:Choice Requires="wps">
          <w:drawing>
            <wp:anchor distT="0" distB="0" distL="0" distR="0" simplePos="0" relativeHeight="251661312" behindDoc="0" locked="0" layoutInCell="1" allowOverlap="1" wp14:anchorId="622CB8C1">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DFDDFA" w14:textId="77777777" w:rsidR="00137363" w:rsidRDefault="0013736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5D16CF">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CB8C1" id="Rectangle 40" o:spid="_x0000_s1029" style="position:absolute;left:0;text-align:left;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12DFDDFA" w14:textId="77777777" w:rsidR="00137363" w:rsidRDefault="0013736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5D16CF">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r w:rsidR="001741B1">
      <w:rPr>
        <w:rFonts w:ascii="Book Antiqua" w:hAnsi="Book Antiqua"/>
        <w:snapToGrid w:val="0"/>
        <w:sz w:val="22"/>
      </w:rPr>
      <w:t xml:space="preserve">   </w:t>
    </w:r>
    <w:r w:rsidR="001741B1">
      <w:rPr>
        <w:rFonts w:ascii="Book Antiqua" w:hAnsi="Book Antiqua"/>
        <w:noProof/>
        <w:snapToGrid w:val="0"/>
        <w:sz w:val="22"/>
      </w:rPr>
      <w:drawing>
        <wp:inline distT="0" distB="0" distL="0" distR="0" wp14:anchorId="0CFF25B1" wp14:editId="5B7F72BC">
          <wp:extent cx="1554480" cy="453201"/>
          <wp:effectExtent l="0" t="0" r="7620" b="4445"/>
          <wp:docPr id="20980535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6754" cy="4567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4CD48" w14:textId="77777777" w:rsidR="004101BE" w:rsidRDefault="004101BE">
      <w:r>
        <w:separator/>
      </w:r>
    </w:p>
  </w:footnote>
  <w:footnote w:type="continuationSeparator" w:id="0">
    <w:p w14:paraId="01B1474A" w14:textId="77777777" w:rsidR="004101BE" w:rsidRDefault="00410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14166" w14:textId="77777777" w:rsidR="00000000" w:rsidRDefault="00A57355" w:rsidP="00F431DA">
    <w:pPr>
      <w:keepNext/>
      <w:outlineLvl w:val="2"/>
    </w:pPr>
    <w:r>
      <w:t>SUBCONTRACTOR</w:t>
    </w:r>
    <w:r w:rsidR="00FD687E">
      <w:t>-TEMPORARY WORKER</w:t>
    </w:r>
    <w:r>
      <w:t xml:space="preserve"> SAFETY REQUIREMENTS</w:t>
    </w:r>
  </w:p>
  <w:p w14:paraId="7816B613" w14:textId="77777777" w:rsidR="00000000" w:rsidRDefault="00771E5D">
    <w:pPr>
      <w:rPr>
        <w:snapToGrid w:val="0"/>
      </w:rPr>
    </w:pPr>
    <w:r>
      <w:rPr>
        <w:noProof/>
      </w:rPr>
      <mc:AlternateContent>
        <mc:Choice Requires="wps">
          <w:drawing>
            <wp:anchor distT="0" distB="0" distL="114300" distR="114300" simplePos="0" relativeHeight="251659264" behindDoc="0" locked="0" layoutInCell="0" allowOverlap="1" wp14:anchorId="37E65C2C">
              <wp:simplePos x="0" y="0"/>
              <wp:positionH relativeFrom="column">
                <wp:posOffset>0</wp:posOffset>
              </wp:positionH>
              <wp:positionV relativeFrom="paragraph">
                <wp:posOffset>30480</wp:posOffset>
              </wp:positionV>
              <wp:extent cx="6309360" cy="0"/>
              <wp:effectExtent l="28575" t="30480" r="34290" b="36195"/>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6A00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9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hEgHgIAADc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" o:allowincell="f" strokeweight="4.5pt">
              <w10:wrap type="topAndBottom"/>
            </v:line>
          </w:pict>
        </mc:Fallback>
      </mc:AlternateContent>
    </w:r>
  </w:p>
  <w:p w14:paraId="1A53F6CF" w14:textId="77777777" w:rsidR="00000000" w:rsidRDefault="00771E5D">
    <w:pPr>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
  <w:p w14:paraId="22301913"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102E"/>
    <w:multiLevelType w:val="multilevel"/>
    <w:tmpl w:val="F99A3600"/>
    <w:lvl w:ilvl="0">
      <w:start w:val="1"/>
      <w:numFmt w:val="decimal"/>
      <w:lvlText w:val="%1."/>
      <w:lvlJc w:val="left"/>
      <w:pPr>
        <w:tabs>
          <w:tab w:val="num" w:pos="720"/>
        </w:tabs>
        <w:ind w:left="720" w:hanging="720"/>
      </w:pPr>
      <w:rPr>
        <w:rFonts w:hint="default"/>
      </w:rPr>
    </w:lvl>
    <w:lvl w:ilvl="1">
      <w:start w:val="1"/>
      <w:numFmt w:val="none"/>
      <w:lvlText w:val="2.5"/>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9764B4"/>
    <w:multiLevelType w:val="multilevel"/>
    <w:tmpl w:val="2500FA8A"/>
    <w:lvl w:ilvl="0">
      <w:start w:val="1"/>
      <w:numFmt w:val="decimal"/>
      <w:lvlText w:val="%1."/>
      <w:lvlJc w:val="left"/>
      <w:pPr>
        <w:tabs>
          <w:tab w:val="num" w:pos="720"/>
        </w:tabs>
        <w:ind w:left="720" w:hanging="720"/>
      </w:pPr>
      <w:rPr>
        <w:rFonts w:hint="default"/>
      </w:rPr>
    </w:lvl>
    <w:lvl w:ilvl="1">
      <w:start w:val="1"/>
      <w:numFmt w:val="none"/>
      <w:lvlText w:val="2.2"/>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B72F3B"/>
    <w:multiLevelType w:val="multilevel"/>
    <w:tmpl w:val="A1EC51FE"/>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4"/>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5B4EF6"/>
    <w:multiLevelType w:val="multilevel"/>
    <w:tmpl w:val="9FBA2DC2"/>
    <w:lvl w:ilvl="0">
      <w:start w:val="4"/>
      <w:numFmt w:val="none"/>
      <w:lvlText w:val="3."/>
      <w:lvlJc w:val="left"/>
      <w:pPr>
        <w:tabs>
          <w:tab w:val="num" w:pos="1440"/>
        </w:tabs>
        <w:ind w:left="1440" w:hanging="720"/>
      </w:pPr>
      <w:rPr>
        <w:rFonts w:hint="default"/>
      </w:rPr>
    </w:lvl>
    <w:lvl w:ilvl="1">
      <w:start w:val="1"/>
      <w:numFmt w:val="none"/>
      <w:lvlText w:val="4.1"/>
      <w:lvlJc w:val="left"/>
      <w:pPr>
        <w:tabs>
          <w:tab w:val="num" w:pos="2160"/>
        </w:tabs>
        <w:ind w:left="2160" w:hanging="720"/>
      </w:pPr>
      <w:rPr>
        <w:rFonts w:hint="default"/>
      </w:rPr>
    </w:lvl>
    <w:lvl w:ilvl="2">
      <w:start w:val="1"/>
      <w:numFmt w:val="none"/>
      <w:lvlText w:val="4.1.7"/>
      <w:lvlJc w:val="left"/>
      <w:pPr>
        <w:tabs>
          <w:tab w:val="num" w:pos="2880"/>
        </w:tabs>
        <w:ind w:left="2880" w:hanging="720"/>
      </w:pPr>
      <w:rPr>
        <w:rFonts w:hint="default"/>
      </w:rPr>
    </w:lvl>
    <w:lvl w:ilvl="3">
      <w:start w:val="2"/>
      <w:numFmt w:val="none"/>
      <w:lvlText w:val="3.1.1.1."/>
      <w:lvlJc w:val="left"/>
      <w:pPr>
        <w:tabs>
          <w:tab w:val="num" w:pos="3600"/>
        </w:tabs>
        <w:ind w:left="3600" w:hanging="720"/>
      </w:pPr>
      <w:rPr>
        <w:rFonts w:hint="default"/>
      </w:rPr>
    </w:lvl>
    <w:lvl w:ilvl="4">
      <w:start w:val="1"/>
      <w:numFmt w:val="decimal"/>
      <w:lvlText w:val="%41.5"/>
      <w:lvlJc w:val="left"/>
      <w:pPr>
        <w:tabs>
          <w:tab w:val="num" w:pos="4320"/>
        </w:tabs>
        <w:ind w:left="4320" w:hanging="720"/>
      </w:pPr>
      <w:rPr>
        <w:rFonts w:hint="default"/>
      </w:rPr>
    </w:lvl>
    <w:lvl w:ilvl="5">
      <w:start w:val="1"/>
      <w:numFmt w:val="decimal"/>
      <w:lvlText w:val="%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4" w15:restartNumberingAfterBreak="0">
    <w:nsid w:val="16197A5F"/>
    <w:multiLevelType w:val="multilevel"/>
    <w:tmpl w:val="58144D76"/>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2276309"/>
    <w:multiLevelType w:val="multilevel"/>
    <w:tmpl w:val="7534DFEE"/>
    <w:lvl w:ilvl="0">
      <w:start w:val="1"/>
      <w:numFmt w:val="decimal"/>
      <w:lvlText w:val="%1."/>
      <w:lvlJc w:val="left"/>
      <w:pPr>
        <w:tabs>
          <w:tab w:val="num" w:pos="720"/>
        </w:tabs>
        <w:ind w:left="720" w:hanging="720"/>
      </w:pPr>
      <w:rPr>
        <w:rFonts w:hint="default"/>
      </w:rPr>
    </w:lvl>
    <w:lvl w:ilvl="1">
      <w:start w:val="1"/>
      <w:numFmt w:val="none"/>
      <w:lvlText w:val="2.4"/>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63B6B2E"/>
    <w:multiLevelType w:val="multilevel"/>
    <w:tmpl w:val="3F0E783E"/>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7CF6BF8"/>
    <w:multiLevelType w:val="multilevel"/>
    <w:tmpl w:val="8D44F76C"/>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DE42FDB"/>
    <w:multiLevelType w:val="multilevel"/>
    <w:tmpl w:val="5B8EEADC"/>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F7D01F9"/>
    <w:multiLevelType w:val="multilevel"/>
    <w:tmpl w:val="CC84744E"/>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DF0662B"/>
    <w:multiLevelType w:val="multilevel"/>
    <w:tmpl w:val="13B6AEF2"/>
    <w:lvl w:ilvl="0">
      <w:start w:val="4"/>
      <w:numFmt w:val="decimal"/>
      <w:lvlText w:val="%1."/>
      <w:lvlJc w:val="left"/>
      <w:pPr>
        <w:tabs>
          <w:tab w:val="num" w:pos="720"/>
        </w:tabs>
        <w:ind w:left="720" w:hanging="720"/>
      </w:pPr>
      <w:rPr>
        <w:rFonts w:hint="default"/>
      </w:rPr>
    </w:lvl>
    <w:lvl w:ilvl="1">
      <w:start w:val="1"/>
      <w:numFmt w:val="none"/>
      <w:lvlText w:val="3.1"/>
      <w:lvlJc w:val="left"/>
      <w:pPr>
        <w:tabs>
          <w:tab w:val="num" w:pos="1440"/>
        </w:tabs>
        <w:ind w:left="1440" w:hanging="720"/>
      </w:pPr>
      <w:rPr>
        <w:rFonts w:hint="default"/>
      </w:rPr>
    </w:lvl>
    <w:lvl w:ilvl="2">
      <w:start w:val="1"/>
      <w:numFmt w:val="none"/>
      <w:lvlText w:val="4.1.7"/>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01941A9"/>
    <w:multiLevelType w:val="hybridMultilevel"/>
    <w:tmpl w:val="3FC6F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0442E3F"/>
    <w:multiLevelType w:val="multilevel"/>
    <w:tmpl w:val="72408B7A"/>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135820"/>
    <w:multiLevelType w:val="multilevel"/>
    <w:tmpl w:val="19B235A0"/>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68212D"/>
    <w:multiLevelType w:val="multilevel"/>
    <w:tmpl w:val="4894DEB8"/>
    <w:lvl w:ilvl="0">
      <w:start w:val="1"/>
      <w:numFmt w:val="decimal"/>
      <w:lvlText w:val="%1."/>
      <w:lvlJc w:val="left"/>
      <w:pPr>
        <w:tabs>
          <w:tab w:val="num" w:pos="720"/>
        </w:tabs>
        <w:ind w:left="720" w:hanging="720"/>
      </w:pPr>
      <w:rPr>
        <w:rFonts w:hint="default"/>
        <w:b w:val="0"/>
      </w:rPr>
    </w:lvl>
    <w:lvl w:ilvl="1">
      <w:start w:val="1"/>
      <w:numFmt w:val="none"/>
      <w:lvlText w:val="1.3"/>
      <w:lvlJc w:val="left"/>
      <w:pPr>
        <w:tabs>
          <w:tab w:val="num" w:pos="1530"/>
        </w:tabs>
        <w:ind w:left="153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47974D5"/>
    <w:multiLevelType w:val="multilevel"/>
    <w:tmpl w:val="B7F84AA2"/>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5D874E4"/>
    <w:multiLevelType w:val="singleLevel"/>
    <w:tmpl w:val="58BEE45A"/>
    <w:lvl w:ilvl="0">
      <w:start w:val="1"/>
      <w:numFmt w:val="bullet"/>
      <w:lvlText w:val=""/>
      <w:lvlJc w:val="left"/>
      <w:pPr>
        <w:tabs>
          <w:tab w:val="num" w:pos="720"/>
        </w:tabs>
        <w:ind w:left="720" w:hanging="720"/>
      </w:pPr>
      <w:rPr>
        <w:rFonts w:ascii="Symbol" w:hAnsi="Symbol" w:hint="default"/>
      </w:rPr>
    </w:lvl>
  </w:abstractNum>
  <w:abstractNum w:abstractNumId="17" w15:restartNumberingAfterBreak="0">
    <w:nsid w:val="57AC220D"/>
    <w:multiLevelType w:val="multilevel"/>
    <w:tmpl w:val="04E64E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57FF2B6F"/>
    <w:multiLevelType w:val="multilevel"/>
    <w:tmpl w:val="1D361432"/>
    <w:lvl w:ilvl="0">
      <w:start w:val="4"/>
      <w:numFmt w:val="decimal"/>
      <w:lvlText w:val="%1."/>
      <w:lvlJc w:val="left"/>
      <w:pPr>
        <w:tabs>
          <w:tab w:val="num" w:pos="720"/>
        </w:tabs>
        <w:ind w:left="720" w:hanging="720"/>
      </w:pPr>
      <w:rPr>
        <w:rFonts w:hint="default"/>
      </w:rPr>
    </w:lvl>
    <w:lvl w:ilvl="1">
      <w:start w:val="1"/>
      <w:numFmt w:val="none"/>
      <w:lvlText w:val="3.2"/>
      <w:lvlJc w:val="left"/>
      <w:pPr>
        <w:tabs>
          <w:tab w:val="num" w:pos="1600"/>
        </w:tabs>
        <w:ind w:left="1600" w:hanging="720"/>
      </w:pPr>
      <w:rPr>
        <w:rFonts w:hint="default"/>
      </w:rPr>
    </w:lvl>
    <w:lvl w:ilvl="2">
      <w:start w:val="1"/>
      <w:numFmt w:val="none"/>
      <w:lvlText w:val="5.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BC67C6E"/>
    <w:multiLevelType w:val="multilevel"/>
    <w:tmpl w:val="11680E9C"/>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E437837"/>
    <w:multiLevelType w:val="multilevel"/>
    <w:tmpl w:val="70A032BC"/>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6"/>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FD53801"/>
    <w:multiLevelType w:val="multilevel"/>
    <w:tmpl w:val="0082E230"/>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5246562"/>
    <w:multiLevelType w:val="multilevel"/>
    <w:tmpl w:val="9C58682C"/>
    <w:lvl w:ilvl="0">
      <w:start w:val="1"/>
      <w:numFmt w:val="decimal"/>
      <w:lvlText w:val="%1."/>
      <w:lvlJc w:val="left"/>
      <w:pPr>
        <w:tabs>
          <w:tab w:val="num" w:pos="720"/>
        </w:tabs>
        <w:ind w:left="720" w:hanging="720"/>
      </w:pPr>
      <w:rPr>
        <w:rFonts w:hint="default"/>
      </w:rPr>
    </w:lvl>
    <w:lvl w:ilvl="1">
      <w:start w:val="1"/>
      <w:numFmt w:val="none"/>
      <w:lvlText w:val="2.3"/>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8C923E0"/>
    <w:multiLevelType w:val="hybridMultilevel"/>
    <w:tmpl w:val="B06E08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71396A0D"/>
    <w:multiLevelType w:val="multilevel"/>
    <w:tmpl w:val="5E2E81B0"/>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5"/>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9602270"/>
    <w:multiLevelType w:val="multilevel"/>
    <w:tmpl w:val="E55A689E"/>
    <w:lvl w:ilvl="0">
      <w:start w:val="1"/>
      <w:numFmt w:val="decimal"/>
      <w:lvlText w:val="%1."/>
      <w:lvlJc w:val="left"/>
      <w:pPr>
        <w:tabs>
          <w:tab w:val="num" w:pos="720"/>
        </w:tabs>
        <w:ind w:left="720" w:hanging="720"/>
      </w:pPr>
      <w:rPr>
        <w:rFonts w:hint="default"/>
      </w:rPr>
    </w:lvl>
    <w:lvl w:ilvl="1">
      <w:start w:val="1"/>
      <w:numFmt w:val="none"/>
      <w:lvlText w:val="2.6"/>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A7D70CA"/>
    <w:multiLevelType w:val="multilevel"/>
    <w:tmpl w:val="F28696E6"/>
    <w:lvl w:ilvl="0">
      <w:start w:val="1"/>
      <w:numFmt w:val="decimal"/>
      <w:lvlText w:val="%1."/>
      <w:lvlJc w:val="left"/>
      <w:pPr>
        <w:tabs>
          <w:tab w:val="num" w:pos="720"/>
        </w:tabs>
        <w:ind w:left="720" w:hanging="720"/>
      </w:pPr>
      <w:rPr>
        <w:rFonts w:hint="default"/>
      </w:rPr>
    </w:lvl>
    <w:lvl w:ilvl="1">
      <w:start w:val="1"/>
      <w:numFmt w:val="none"/>
      <w:lvlText w:val="1.1"/>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615865756">
    <w:abstractNumId w:val="26"/>
  </w:num>
  <w:num w:numId="2" w16cid:durableId="189729394">
    <w:abstractNumId w:val="16"/>
  </w:num>
  <w:num w:numId="3" w16cid:durableId="1160581381">
    <w:abstractNumId w:val="7"/>
  </w:num>
  <w:num w:numId="4" w16cid:durableId="769088605">
    <w:abstractNumId w:val="14"/>
  </w:num>
  <w:num w:numId="5" w16cid:durableId="1036661752">
    <w:abstractNumId w:val="1"/>
  </w:num>
  <w:num w:numId="6" w16cid:durableId="1124275290">
    <w:abstractNumId w:val="22"/>
  </w:num>
  <w:num w:numId="7" w16cid:durableId="471795728">
    <w:abstractNumId w:val="5"/>
  </w:num>
  <w:num w:numId="8" w16cid:durableId="584414282">
    <w:abstractNumId w:val="0"/>
  </w:num>
  <w:num w:numId="9" w16cid:durableId="1255046153">
    <w:abstractNumId w:val="25"/>
  </w:num>
  <w:num w:numId="10" w16cid:durableId="1509053160">
    <w:abstractNumId w:val="3"/>
  </w:num>
  <w:num w:numId="11" w16cid:durableId="805586945">
    <w:abstractNumId w:val="10"/>
  </w:num>
  <w:num w:numId="12" w16cid:durableId="2029018163">
    <w:abstractNumId w:val="21"/>
  </w:num>
  <w:num w:numId="13" w16cid:durableId="200286039">
    <w:abstractNumId w:val="9"/>
  </w:num>
  <w:num w:numId="14" w16cid:durableId="1976058293">
    <w:abstractNumId w:val="4"/>
  </w:num>
  <w:num w:numId="15" w16cid:durableId="1609971998">
    <w:abstractNumId w:val="18"/>
  </w:num>
  <w:num w:numId="16" w16cid:durableId="1586771">
    <w:abstractNumId w:val="6"/>
  </w:num>
  <w:num w:numId="17" w16cid:durableId="22749277">
    <w:abstractNumId w:val="12"/>
  </w:num>
  <w:num w:numId="18" w16cid:durableId="1007830783">
    <w:abstractNumId w:val="8"/>
  </w:num>
  <w:num w:numId="19" w16cid:durableId="271863573">
    <w:abstractNumId w:val="17"/>
  </w:num>
  <w:num w:numId="20" w16cid:durableId="1336038176">
    <w:abstractNumId w:val="13"/>
  </w:num>
  <w:num w:numId="21" w16cid:durableId="1208567320">
    <w:abstractNumId w:val="19"/>
  </w:num>
  <w:num w:numId="22" w16cid:durableId="1700429487">
    <w:abstractNumId w:val="15"/>
  </w:num>
  <w:num w:numId="23" w16cid:durableId="580063730">
    <w:abstractNumId w:val="2"/>
  </w:num>
  <w:num w:numId="24" w16cid:durableId="1279146564">
    <w:abstractNumId w:val="24"/>
  </w:num>
  <w:num w:numId="25" w16cid:durableId="916594334">
    <w:abstractNumId w:val="20"/>
  </w:num>
  <w:num w:numId="26" w16cid:durableId="1891384096">
    <w:abstractNumId w:val="11"/>
  </w:num>
  <w:num w:numId="27" w16cid:durableId="202967380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9E"/>
    <w:rsid w:val="000610BE"/>
    <w:rsid w:val="00077E2B"/>
    <w:rsid w:val="0011489E"/>
    <w:rsid w:val="0012018F"/>
    <w:rsid w:val="00137363"/>
    <w:rsid w:val="001741B1"/>
    <w:rsid w:val="0018557C"/>
    <w:rsid w:val="001936CE"/>
    <w:rsid w:val="001E571D"/>
    <w:rsid w:val="00253EAD"/>
    <w:rsid w:val="0026498E"/>
    <w:rsid w:val="002E177C"/>
    <w:rsid w:val="004101BE"/>
    <w:rsid w:val="00456EC3"/>
    <w:rsid w:val="004D05CF"/>
    <w:rsid w:val="00564B3B"/>
    <w:rsid w:val="005D16CF"/>
    <w:rsid w:val="006A6FC1"/>
    <w:rsid w:val="00771E5D"/>
    <w:rsid w:val="007B4D19"/>
    <w:rsid w:val="0082165B"/>
    <w:rsid w:val="008A5924"/>
    <w:rsid w:val="008B426C"/>
    <w:rsid w:val="008D2344"/>
    <w:rsid w:val="0097444D"/>
    <w:rsid w:val="00A11EB0"/>
    <w:rsid w:val="00A57355"/>
    <w:rsid w:val="00AD42F8"/>
    <w:rsid w:val="00B64E2F"/>
    <w:rsid w:val="00BF46A7"/>
    <w:rsid w:val="00C27F82"/>
    <w:rsid w:val="00C622CD"/>
    <w:rsid w:val="00CD22F2"/>
    <w:rsid w:val="00D373FF"/>
    <w:rsid w:val="00DE05AC"/>
    <w:rsid w:val="00F16543"/>
    <w:rsid w:val="00F30321"/>
    <w:rsid w:val="00F35656"/>
    <w:rsid w:val="00F431DA"/>
    <w:rsid w:val="00FD2A25"/>
    <w:rsid w:val="00FD6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C0993"/>
  <w15:chartTrackingRefBased/>
  <w15:docId w15:val="{9FAF438C-783D-4A99-8B3A-945D37B7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E5D"/>
    <w:pPr>
      <w:spacing w:after="0" w:line="240" w:lineRule="auto"/>
    </w:pPr>
    <w:rPr>
      <w:rFonts w:ascii="Book Antiqua" w:eastAsia="Times New Roman" w:hAnsi="Book Antiqua" w:cs="Times New Roman"/>
      <w:szCs w:val="24"/>
    </w:rPr>
  </w:style>
  <w:style w:type="paragraph" w:styleId="Heading2">
    <w:name w:val="heading 2"/>
    <w:basedOn w:val="Normal"/>
    <w:next w:val="Normal"/>
    <w:link w:val="Heading2Char"/>
    <w:qFormat/>
    <w:rsid w:val="00771E5D"/>
    <w:pPr>
      <w:keepNext/>
      <w:outlineLvl w:val="1"/>
    </w:pPr>
    <w:rPr>
      <w:rFonts w:ascii="Times New Roman" w:hAnsi="Times New Roman"/>
      <w:snapToGrid w:val="0"/>
      <w:sz w:val="24"/>
      <w:szCs w:val="20"/>
    </w:rPr>
  </w:style>
  <w:style w:type="paragraph" w:styleId="Heading3">
    <w:name w:val="heading 3"/>
    <w:basedOn w:val="Normal"/>
    <w:next w:val="Normal"/>
    <w:link w:val="Heading3Char"/>
    <w:uiPriority w:val="9"/>
    <w:semiHidden/>
    <w:unhideWhenUsed/>
    <w:qFormat/>
    <w:rsid w:val="00A57355"/>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5">
    <w:name w:val="heading 5"/>
    <w:basedOn w:val="Normal"/>
    <w:next w:val="Normal"/>
    <w:link w:val="Heading5Char"/>
    <w:qFormat/>
    <w:rsid w:val="00771E5D"/>
    <w:pPr>
      <w:keepNext/>
      <w:jc w:val="center"/>
      <w:outlineLvl w:val="4"/>
    </w:pPr>
    <w:rPr>
      <w:rFonts w:ascii="Times New Roman" w:hAnsi="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1E5D"/>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rsid w:val="00771E5D"/>
    <w:rPr>
      <w:rFonts w:ascii="Times New Roman" w:eastAsia="Times New Roman" w:hAnsi="Times New Roman" w:cs="Times New Roman"/>
      <w:b/>
      <w:snapToGrid w:val="0"/>
      <w:sz w:val="24"/>
      <w:szCs w:val="20"/>
    </w:rPr>
  </w:style>
  <w:style w:type="paragraph" w:styleId="Header">
    <w:name w:val="header"/>
    <w:basedOn w:val="Normal"/>
    <w:link w:val="HeaderChar"/>
    <w:rsid w:val="00771E5D"/>
    <w:pPr>
      <w:tabs>
        <w:tab w:val="center" w:pos="4320"/>
        <w:tab w:val="right" w:pos="8640"/>
      </w:tabs>
    </w:pPr>
    <w:rPr>
      <w:szCs w:val="20"/>
    </w:rPr>
  </w:style>
  <w:style w:type="character" w:customStyle="1" w:styleId="HeaderChar">
    <w:name w:val="Header Char"/>
    <w:basedOn w:val="DefaultParagraphFont"/>
    <w:link w:val="Header"/>
    <w:rsid w:val="00771E5D"/>
    <w:rPr>
      <w:rFonts w:ascii="Book Antiqua" w:eastAsia="Times New Roman" w:hAnsi="Book Antiqua" w:cs="Times New Roman"/>
      <w:szCs w:val="20"/>
    </w:rPr>
  </w:style>
  <w:style w:type="paragraph" w:styleId="Footer">
    <w:name w:val="footer"/>
    <w:basedOn w:val="Normal"/>
    <w:link w:val="FooterChar"/>
    <w:rsid w:val="00771E5D"/>
    <w:pPr>
      <w:tabs>
        <w:tab w:val="center" w:pos="4320"/>
        <w:tab w:val="right" w:pos="8640"/>
      </w:tabs>
    </w:pPr>
    <w:rPr>
      <w:rFonts w:ascii="Times New Roman" w:hAnsi="Times New Roman"/>
      <w:sz w:val="20"/>
      <w:szCs w:val="20"/>
    </w:rPr>
  </w:style>
  <w:style w:type="character" w:customStyle="1" w:styleId="FooterChar">
    <w:name w:val="Footer Char"/>
    <w:basedOn w:val="DefaultParagraphFont"/>
    <w:link w:val="Footer"/>
    <w:rsid w:val="00771E5D"/>
    <w:rPr>
      <w:rFonts w:ascii="Times New Roman" w:eastAsia="Times New Roman" w:hAnsi="Times New Roman" w:cs="Times New Roman"/>
      <w:sz w:val="20"/>
      <w:szCs w:val="20"/>
    </w:rPr>
  </w:style>
  <w:style w:type="paragraph" w:styleId="BodyText">
    <w:name w:val="Body Text"/>
    <w:basedOn w:val="Normal"/>
    <w:link w:val="BodyTextChar"/>
    <w:rsid w:val="00771E5D"/>
    <w:pPr>
      <w:jc w:val="both"/>
    </w:pPr>
    <w:rPr>
      <w:rFonts w:ascii="Times New Roman" w:hAnsi="Times New Roman"/>
      <w:snapToGrid w:val="0"/>
      <w:sz w:val="24"/>
      <w:szCs w:val="20"/>
    </w:rPr>
  </w:style>
  <w:style w:type="character" w:customStyle="1" w:styleId="BodyTextChar">
    <w:name w:val="Body Text Char"/>
    <w:basedOn w:val="DefaultParagraphFont"/>
    <w:link w:val="BodyText"/>
    <w:rsid w:val="00771E5D"/>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F431DA"/>
    <w:pPr>
      <w:ind w:left="720"/>
      <w:contextualSpacing/>
    </w:pPr>
  </w:style>
  <w:style w:type="character" w:customStyle="1" w:styleId="Heading3Char">
    <w:name w:val="Heading 3 Char"/>
    <w:basedOn w:val="DefaultParagraphFont"/>
    <w:link w:val="Heading3"/>
    <w:uiPriority w:val="9"/>
    <w:semiHidden/>
    <w:rsid w:val="00A5735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58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34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246C03-C322-4BD2-AD48-9F0C3407C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Piedmont Service Group</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Desrosiers, Brian</dc:creator>
  <cp:keywords/>
  <dc:description/>
  <cp:lastModifiedBy>Desrosiers, Brian</cp:lastModifiedBy>
  <cp:revision>5</cp:revision>
  <cp:lastPrinted>2019-12-10T20:49:00Z</cp:lastPrinted>
  <dcterms:created xsi:type="dcterms:W3CDTF">2020-12-17T18:06:00Z</dcterms:created>
  <dcterms:modified xsi:type="dcterms:W3CDTF">2023-12-22T15:45:00Z</dcterms:modified>
</cp:coreProperties>
</file>