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E8CF" w14:textId="77777777" w:rsidR="00F431DA" w:rsidRPr="00F431DA" w:rsidRDefault="00F431DA" w:rsidP="0012018F">
      <w:pPr>
        <w:keepNext/>
        <w:jc w:val="center"/>
        <w:outlineLvl w:val="2"/>
        <w:rPr>
          <w:b/>
          <w:szCs w:val="22"/>
          <w:u w:val="single"/>
        </w:rPr>
      </w:pPr>
      <w:bookmarkStart w:id="0" w:name="_Toc222125177"/>
      <w:r w:rsidRPr="00F431DA">
        <w:rPr>
          <w:b/>
          <w:szCs w:val="22"/>
          <w:u w:val="single"/>
        </w:rPr>
        <w:t>COM</w:t>
      </w:r>
      <w:bookmarkEnd w:id="0"/>
      <w:r w:rsidR="009F2EAA">
        <w:rPr>
          <w:b/>
          <w:szCs w:val="22"/>
          <w:u w:val="single"/>
        </w:rPr>
        <w:t>PRESSED GAS SAFETY</w:t>
      </w:r>
    </w:p>
    <w:p w14:paraId="6FDBF61C" w14:textId="77777777" w:rsidR="00F431DA" w:rsidRPr="00F431DA" w:rsidRDefault="00F431DA" w:rsidP="00F431DA">
      <w:pPr>
        <w:jc w:val="both"/>
        <w:rPr>
          <w:b/>
          <w:szCs w:val="22"/>
        </w:rPr>
      </w:pPr>
    </w:p>
    <w:p w14:paraId="647D70C1" w14:textId="77777777" w:rsidR="009F2EAA" w:rsidRDefault="009F2EAA" w:rsidP="009F2EAA">
      <w:pPr>
        <w:jc w:val="both"/>
        <w:rPr>
          <w:szCs w:val="22"/>
        </w:rPr>
      </w:pPr>
      <w:r>
        <w:rPr>
          <w:szCs w:val="22"/>
        </w:rPr>
        <w:t xml:space="preserve">The purpose of this program is to establish guidelines for the protection and safety of </w:t>
      </w:r>
      <w:r w:rsidR="00F431DA">
        <w:rPr>
          <w:szCs w:val="22"/>
        </w:rPr>
        <w:t>Piedmont Service Group</w:t>
      </w:r>
      <w:r>
        <w:rPr>
          <w:szCs w:val="22"/>
        </w:rPr>
        <w:t xml:space="preserve">'s </w:t>
      </w:r>
      <w:r w:rsidR="00F431DA">
        <w:rPr>
          <w:szCs w:val="22"/>
        </w:rPr>
        <w:t>(</w:t>
      </w:r>
      <w:r w:rsidR="00F431DA" w:rsidRPr="00F431DA">
        <w:rPr>
          <w:szCs w:val="22"/>
        </w:rPr>
        <w:t>PSG</w:t>
      </w:r>
      <w:r>
        <w:rPr>
          <w:szCs w:val="22"/>
        </w:rPr>
        <w:t>) employees who handle and use compressed gases.</w:t>
      </w:r>
    </w:p>
    <w:p w14:paraId="3B5B9220" w14:textId="77777777" w:rsidR="009F2EAA" w:rsidRPr="00F431DA" w:rsidRDefault="009F2EAA" w:rsidP="009F2EAA">
      <w:pPr>
        <w:jc w:val="both"/>
        <w:rPr>
          <w:snapToGrid w:val="0"/>
          <w:color w:val="000000"/>
          <w:sz w:val="21"/>
        </w:rPr>
      </w:pPr>
    </w:p>
    <w:p w14:paraId="4301B2B0" w14:textId="77777777" w:rsidR="009F2EAA" w:rsidRDefault="009F2EAA" w:rsidP="009F2EAA">
      <w:pPr>
        <w:spacing w:after="160" w:line="259" w:lineRule="auto"/>
        <w:jc w:val="both"/>
        <w:rPr>
          <w:rFonts w:eastAsia="Calibri"/>
          <w:bCs/>
          <w:sz w:val="20"/>
          <w:szCs w:val="22"/>
        </w:rPr>
      </w:pPr>
      <w:r w:rsidRPr="009F2EAA">
        <w:rPr>
          <w:rFonts w:eastAsia="Calibri"/>
          <w:bCs/>
          <w:sz w:val="20"/>
          <w:szCs w:val="22"/>
        </w:rPr>
        <w:t xml:space="preserve">It is the policy of </w:t>
      </w:r>
      <w:r>
        <w:rPr>
          <w:rFonts w:eastAsia="Calibri"/>
          <w:bCs/>
          <w:sz w:val="20"/>
          <w:szCs w:val="22"/>
        </w:rPr>
        <w:t>PSG</w:t>
      </w:r>
      <w:r w:rsidRPr="009F2EAA">
        <w:rPr>
          <w:rFonts w:eastAsia="Calibri"/>
          <w:bCs/>
          <w:sz w:val="20"/>
          <w:szCs w:val="22"/>
        </w:rPr>
        <w:t xml:space="preserve"> to permit only trained and authorized employees to handle, store, use and inspect compressed gases and equipment.  This policy is applicable to daily users and to those who only occasionally have cause to use such equipment.</w:t>
      </w:r>
      <w:r>
        <w:rPr>
          <w:rFonts w:eastAsia="Calibri"/>
          <w:bCs/>
          <w:sz w:val="20"/>
          <w:szCs w:val="22"/>
        </w:rPr>
        <w:t xml:space="preserve"> Safe </w:t>
      </w:r>
      <w:proofErr w:type="gramStart"/>
      <w:r>
        <w:rPr>
          <w:rFonts w:eastAsia="Calibri"/>
          <w:bCs/>
          <w:sz w:val="20"/>
          <w:szCs w:val="22"/>
        </w:rPr>
        <w:t>transporting</w:t>
      </w:r>
      <w:proofErr w:type="gramEnd"/>
      <w:r>
        <w:rPr>
          <w:rFonts w:eastAsia="Calibri"/>
          <w:bCs/>
          <w:sz w:val="20"/>
          <w:szCs w:val="22"/>
        </w:rPr>
        <w:t xml:space="preserve"> requirements are also described below.</w:t>
      </w:r>
    </w:p>
    <w:p w14:paraId="3330D458" w14:textId="77777777" w:rsidR="009F2EAA" w:rsidRDefault="009F2EAA" w:rsidP="009F2EAA">
      <w:pPr>
        <w:numPr>
          <w:ilvl w:val="1"/>
          <w:numId w:val="0"/>
        </w:numPr>
        <w:tabs>
          <w:tab w:val="left" w:pos="1620"/>
        </w:tabs>
        <w:spacing w:before="240" w:after="160"/>
        <w:ind w:left="900" w:hanging="900"/>
        <w:contextualSpacing/>
        <w:jc w:val="center"/>
        <w:rPr>
          <w:rFonts w:eastAsia="Calibri" w:cs="Arial"/>
          <w:b/>
          <w:szCs w:val="22"/>
          <w:u w:val="single"/>
        </w:rPr>
      </w:pPr>
      <w:r w:rsidRPr="009F2EAA">
        <w:rPr>
          <w:rFonts w:eastAsia="Calibri" w:cs="Arial"/>
          <w:b/>
          <w:szCs w:val="22"/>
          <w:u w:val="single"/>
        </w:rPr>
        <w:t>Training</w:t>
      </w:r>
    </w:p>
    <w:p w14:paraId="734EF59A" w14:textId="77777777" w:rsidR="00773A2A" w:rsidRPr="009F2EAA" w:rsidRDefault="00773A2A" w:rsidP="009F2EAA">
      <w:pPr>
        <w:numPr>
          <w:ilvl w:val="1"/>
          <w:numId w:val="0"/>
        </w:numPr>
        <w:tabs>
          <w:tab w:val="left" w:pos="1620"/>
        </w:tabs>
        <w:spacing w:before="240" w:after="160"/>
        <w:ind w:left="900" w:hanging="900"/>
        <w:contextualSpacing/>
        <w:jc w:val="center"/>
        <w:rPr>
          <w:rFonts w:eastAsia="Calibri" w:cs="Arial"/>
          <w:b/>
          <w:szCs w:val="22"/>
          <w:u w:val="single"/>
        </w:rPr>
      </w:pPr>
    </w:p>
    <w:p w14:paraId="373119A5" w14:textId="77777777" w:rsidR="009F2EAA" w:rsidRPr="009F2EAA" w:rsidRDefault="009F2EAA"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9F2EAA">
        <w:rPr>
          <w:rFonts w:eastAsia="Calibri" w:cs="Arial"/>
          <w:sz w:val="20"/>
          <w:szCs w:val="20"/>
        </w:rPr>
        <w:t>Employees who use and handle compressed gas cylinders will be trained before initial job assignment and/or job reassignment. Employees will be trained in the safe use, inspection, handling, and storage of compressed gas cylinders. Refresher training shall be provided at the discretion of the supervisor.</w:t>
      </w:r>
    </w:p>
    <w:p w14:paraId="71B19CCA" w14:textId="77777777" w:rsidR="00773A2A" w:rsidRDefault="00773A2A" w:rsidP="00773A2A">
      <w:pPr>
        <w:numPr>
          <w:ilvl w:val="1"/>
          <w:numId w:val="0"/>
        </w:numPr>
        <w:tabs>
          <w:tab w:val="left" w:pos="1620"/>
        </w:tabs>
        <w:spacing w:before="240" w:after="160"/>
        <w:ind w:left="900" w:hanging="900"/>
        <w:contextualSpacing/>
        <w:jc w:val="both"/>
        <w:rPr>
          <w:rFonts w:eastAsia="Calibri" w:cs="Arial"/>
          <w:b/>
          <w:sz w:val="20"/>
          <w:szCs w:val="20"/>
        </w:rPr>
      </w:pPr>
    </w:p>
    <w:p w14:paraId="45D8E705" w14:textId="77777777" w:rsidR="009F2EAA" w:rsidRDefault="009F2EAA" w:rsidP="00773A2A">
      <w:pPr>
        <w:numPr>
          <w:ilvl w:val="1"/>
          <w:numId w:val="0"/>
        </w:numPr>
        <w:tabs>
          <w:tab w:val="left" w:pos="1620"/>
        </w:tabs>
        <w:spacing w:before="240" w:after="160"/>
        <w:ind w:left="900" w:hanging="900"/>
        <w:contextualSpacing/>
        <w:jc w:val="center"/>
        <w:rPr>
          <w:rFonts w:eastAsia="Calibri" w:cs="Arial"/>
          <w:b/>
          <w:szCs w:val="22"/>
          <w:u w:val="single"/>
        </w:rPr>
      </w:pPr>
      <w:r w:rsidRPr="009F2EAA">
        <w:rPr>
          <w:rFonts w:eastAsia="Calibri" w:cs="Arial"/>
          <w:b/>
          <w:szCs w:val="22"/>
          <w:u w:val="single"/>
        </w:rPr>
        <w:t>Inspections</w:t>
      </w:r>
    </w:p>
    <w:p w14:paraId="2D238B8D" w14:textId="77777777" w:rsidR="00773A2A" w:rsidRPr="009F2EAA" w:rsidRDefault="00773A2A" w:rsidP="00773A2A">
      <w:pPr>
        <w:numPr>
          <w:ilvl w:val="1"/>
          <w:numId w:val="0"/>
        </w:numPr>
        <w:tabs>
          <w:tab w:val="left" w:pos="1620"/>
        </w:tabs>
        <w:spacing w:before="240" w:after="160"/>
        <w:ind w:left="900" w:hanging="900"/>
        <w:contextualSpacing/>
        <w:jc w:val="center"/>
        <w:rPr>
          <w:rFonts w:eastAsia="Calibri" w:cs="Arial"/>
          <w:b/>
          <w:szCs w:val="22"/>
          <w:u w:val="single"/>
        </w:rPr>
      </w:pPr>
    </w:p>
    <w:p w14:paraId="47AD66CE" w14:textId="77777777" w:rsidR="009F2EAA" w:rsidRDefault="00773A2A"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F2EAA" w:rsidRPr="009F2EAA">
        <w:rPr>
          <w:rFonts w:eastAsia="Calibri" w:cs="Arial"/>
          <w:sz w:val="20"/>
          <w:szCs w:val="20"/>
        </w:rPr>
        <w:t>Compressed gas cylinders must be visually inspected before use for leaks, cracks, etc.</w:t>
      </w:r>
      <w:r>
        <w:rPr>
          <w:rFonts w:eastAsia="Calibri" w:cs="Arial"/>
          <w:sz w:val="20"/>
          <w:szCs w:val="20"/>
        </w:rPr>
        <w:t xml:space="preserve"> </w:t>
      </w:r>
      <w:r w:rsidR="009F2EAA" w:rsidRPr="009F2EAA">
        <w:rPr>
          <w:rFonts w:eastAsia="Calibri" w:cs="Arial"/>
          <w:sz w:val="20"/>
          <w:szCs w:val="20"/>
        </w:rPr>
        <w:t>This visual inspection will include the cylinder, safety relief devices, valves, protection caps</w:t>
      </w:r>
      <w:r w:rsidR="00F62B02">
        <w:rPr>
          <w:rFonts w:eastAsia="Calibri" w:cs="Arial"/>
          <w:sz w:val="20"/>
          <w:szCs w:val="20"/>
        </w:rPr>
        <w:t xml:space="preserve">, hoses, </w:t>
      </w:r>
      <w:proofErr w:type="gramStart"/>
      <w:r w:rsidR="00F62B02">
        <w:rPr>
          <w:rFonts w:eastAsia="Calibri" w:cs="Arial"/>
          <w:sz w:val="20"/>
          <w:szCs w:val="20"/>
        </w:rPr>
        <w:t>connections</w:t>
      </w:r>
      <w:proofErr w:type="gramEnd"/>
      <w:r w:rsidR="009F2EAA" w:rsidRPr="009F2EAA">
        <w:rPr>
          <w:rFonts w:eastAsia="Calibri" w:cs="Arial"/>
          <w:sz w:val="20"/>
          <w:szCs w:val="20"/>
        </w:rPr>
        <w:t xml:space="preserve"> and stems.</w:t>
      </w:r>
      <w:r>
        <w:rPr>
          <w:rFonts w:eastAsia="Calibri" w:cs="Arial"/>
          <w:sz w:val="20"/>
          <w:szCs w:val="20"/>
        </w:rPr>
        <w:t xml:space="preserve"> </w:t>
      </w:r>
      <w:r w:rsidR="009F2EAA" w:rsidRPr="009F2EAA">
        <w:rPr>
          <w:rFonts w:eastAsia="Calibri" w:cs="Arial"/>
          <w:sz w:val="20"/>
          <w:szCs w:val="20"/>
        </w:rPr>
        <w:t>If a cyli</w:t>
      </w:r>
      <w:r w:rsidR="00034DBA">
        <w:rPr>
          <w:rFonts w:eastAsia="Calibri" w:cs="Arial"/>
          <w:sz w:val="20"/>
          <w:szCs w:val="20"/>
        </w:rPr>
        <w:t>nder is thought to be defective or leaking, move it outside and</w:t>
      </w:r>
      <w:r w:rsidR="009F2EAA" w:rsidRPr="009F2EAA">
        <w:rPr>
          <w:rFonts w:eastAsia="Calibri" w:cs="Arial"/>
          <w:sz w:val="20"/>
          <w:szCs w:val="20"/>
        </w:rPr>
        <w:t xml:space="preserve"> it should be returned to the supplier for replacement. Under no circumstances should employees attempt to repair defective cylinders. Ga</w:t>
      </w:r>
      <w:r w:rsidR="00202B71">
        <w:rPr>
          <w:rFonts w:eastAsia="Calibri" w:cs="Arial"/>
          <w:sz w:val="20"/>
          <w:szCs w:val="20"/>
        </w:rPr>
        <w:t>u</w:t>
      </w:r>
      <w:r w:rsidR="009F2EAA" w:rsidRPr="009F2EAA">
        <w:rPr>
          <w:rFonts w:eastAsia="Calibri" w:cs="Arial"/>
          <w:sz w:val="20"/>
          <w:szCs w:val="20"/>
        </w:rPr>
        <w:t>ges should be checked to ensure that the gas under pressure is not left in hoses when operations are completed.</w:t>
      </w:r>
      <w:r w:rsidR="00034DBA">
        <w:rPr>
          <w:rFonts w:eastAsia="Calibri" w:cs="Arial"/>
          <w:sz w:val="20"/>
          <w:szCs w:val="20"/>
        </w:rPr>
        <w:t xml:space="preserve"> </w:t>
      </w:r>
    </w:p>
    <w:p w14:paraId="624DCAB8" w14:textId="77777777" w:rsidR="00773A2A" w:rsidRPr="009F2EAA" w:rsidRDefault="00773A2A" w:rsidP="009F2EAA">
      <w:pPr>
        <w:numPr>
          <w:ilvl w:val="2"/>
          <w:numId w:val="0"/>
        </w:numPr>
        <w:tabs>
          <w:tab w:val="left" w:pos="1620"/>
        </w:tabs>
        <w:spacing w:before="240" w:after="160"/>
        <w:ind w:hanging="900"/>
        <w:contextualSpacing/>
        <w:jc w:val="both"/>
        <w:rPr>
          <w:rFonts w:eastAsia="Calibri" w:cs="Arial"/>
          <w:sz w:val="20"/>
          <w:szCs w:val="20"/>
        </w:rPr>
      </w:pPr>
    </w:p>
    <w:p w14:paraId="5D66E589" w14:textId="77777777" w:rsidR="009F2EAA" w:rsidRDefault="009F2EAA" w:rsidP="00773A2A">
      <w:pPr>
        <w:numPr>
          <w:ilvl w:val="1"/>
          <w:numId w:val="0"/>
        </w:numPr>
        <w:tabs>
          <w:tab w:val="left" w:pos="1620"/>
        </w:tabs>
        <w:spacing w:before="240" w:after="160"/>
        <w:ind w:left="900" w:hanging="900"/>
        <w:contextualSpacing/>
        <w:jc w:val="center"/>
        <w:rPr>
          <w:rFonts w:eastAsia="Calibri" w:cs="Arial"/>
          <w:b/>
          <w:szCs w:val="22"/>
          <w:u w:val="single"/>
        </w:rPr>
      </w:pPr>
      <w:r w:rsidRPr="009F2EAA">
        <w:rPr>
          <w:rFonts w:eastAsia="Calibri" w:cs="Arial"/>
          <w:b/>
          <w:szCs w:val="22"/>
          <w:u w:val="single"/>
        </w:rPr>
        <w:t>Labeling</w:t>
      </w:r>
    </w:p>
    <w:p w14:paraId="4F8099CD" w14:textId="77777777" w:rsidR="00773A2A" w:rsidRPr="009F2EAA" w:rsidRDefault="00773A2A" w:rsidP="00773A2A">
      <w:pPr>
        <w:numPr>
          <w:ilvl w:val="1"/>
          <w:numId w:val="0"/>
        </w:numPr>
        <w:tabs>
          <w:tab w:val="left" w:pos="1620"/>
        </w:tabs>
        <w:spacing w:before="240" w:after="160"/>
        <w:ind w:hanging="900"/>
        <w:contextualSpacing/>
        <w:jc w:val="center"/>
        <w:rPr>
          <w:rFonts w:eastAsia="Calibri" w:cs="Arial"/>
          <w:b/>
          <w:szCs w:val="22"/>
          <w:u w:val="single"/>
        </w:rPr>
      </w:pPr>
    </w:p>
    <w:p w14:paraId="13992FEE" w14:textId="77777777" w:rsidR="009F2EAA" w:rsidRDefault="00773A2A"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proofErr w:type="gramStart"/>
      <w:r w:rsidR="009F2EAA" w:rsidRPr="009F2EAA">
        <w:rPr>
          <w:rFonts w:eastAsia="Calibri" w:cs="Arial"/>
          <w:sz w:val="20"/>
          <w:szCs w:val="20"/>
        </w:rPr>
        <w:t>For the purpose of</w:t>
      </w:r>
      <w:proofErr w:type="gramEnd"/>
      <w:r w:rsidR="009F2EAA" w:rsidRPr="009F2EAA">
        <w:rPr>
          <w:rFonts w:eastAsia="Calibri" w:cs="Arial"/>
          <w:sz w:val="20"/>
          <w:szCs w:val="20"/>
        </w:rPr>
        <w:t xml:space="preserve"> identifying the gas content, compressed gas cylinders shall be legibly marked with either the chemical or trade name of the gas. Such marking shall be by means of stenciling, stamping, or labeling, and shall not be readily removable. Whenever practical, the marking </w:t>
      </w:r>
      <w:proofErr w:type="gramStart"/>
      <w:r w:rsidR="009F2EAA" w:rsidRPr="009F2EAA">
        <w:rPr>
          <w:rFonts w:eastAsia="Calibri" w:cs="Arial"/>
          <w:sz w:val="20"/>
          <w:szCs w:val="20"/>
        </w:rPr>
        <w:t>shall</w:t>
      </w:r>
      <w:proofErr w:type="gramEnd"/>
      <w:r w:rsidR="009F2EAA" w:rsidRPr="009F2EAA">
        <w:rPr>
          <w:rFonts w:eastAsia="Calibri" w:cs="Arial"/>
          <w:sz w:val="20"/>
          <w:szCs w:val="20"/>
        </w:rPr>
        <w:t xml:space="preserve"> be on the shoulder of the cylinder for easy identification.</w:t>
      </w:r>
    </w:p>
    <w:p w14:paraId="76D08ADC" w14:textId="77777777" w:rsidR="009F2EAA" w:rsidRDefault="009F2EAA" w:rsidP="00773A2A">
      <w:pPr>
        <w:numPr>
          <w:ilvl w:val="1"/>
          <w:numId w:val="0"/>
        </w:numPr>
        <w:tabs>
          <w:tab w:val="left" w:pos="1620"/>
        </w:tabs>
        <w:spacing w:before="240" w:after="160"/>
        <w:ind w:left="900" w:hanging="900"/>
        <w:contextualSpacing/>
        <w:jc w:val="center"/>
        <w:rPr>
          <w:rFonts w:eastAsia="Calibri" w:cs="Arial"/>
          <w:b/>
          <w:szCs w:val="22"/>
          <w:u w:val="single"/>
        </w:rPr>
      </w:pPr>
      <w:r w:rsidRPr="009F2EAA">
        <w:rPr>
          <w:rFonts w:eastAsia="Calibri" w:cs="Arial"/>
          <w:b/>
          <w:szCs w:val="22"/>
          <w:u w:val="single"/>
        </w:rPr>
        <w:t>Storage</w:t>
      </w:r>
    </w:p>
    <w:p w14:paraId="396C0C1D" w14:textId="77777777" w:rsidR="00773A2A" w:rsidRPr="009F2EAA" w:rsidRDefault="00773A2A" w:rsidP="00773A2A">
      <w:pPr>
        <w:numPr>
          <w:ilvl w:val="1"/>
          <w:numId w:val="0"/>
        </w:numPr>
        <w:tabs>
          <w:tab w:val="left" w:pos="1620"/>
        </w:tabs>
        <w:spacing w:before="240" w:after="160"/>
        <w:ind w:left="900" w:hanging="900"/>
        <w:contextualSpacing/>
        <w:jc w:val="center"/>
        <w:rPr>
          <w:rFonts w:eastAsia="Calibri" w:cs="Arial"/>
          <w:b/>
          <w:szCs w:val="22"/>
          <w:u w:val="single"/>
        </w:rPr>
      </w:pPr>
    </w:p>
    <w:p w14:paraId="0119877C" w14:textId="77777777" w:rsidR="00480E80" w:rsidRDefault="009F2EAA" w:rsidP="00773A2A">
      <w:pPr>
        <w:spacing w:after="160" w:line="259" w:lineRule="auto"/>
        <w:jc w:val="both"/>
        <w:rPr>
          <w:rFonts w:eastAsia="Calibri"/>
          <w:sz w:val="20"/>
          <w:szCs w:val="20"/>
        </w:rPr>
      </w:pPr>
      <w:r w:rsidRPr="009F2EAA">
        <w:rPr>
          <w:rFonts w:eastAsia="Calibri"/>
          <w:sz w:val="20"/>
          <w:szCs w:val="20"/>
        </w:rPr>
        <w:t>The storage of compressed gas cylinders requires precautions and fol</w:t>
      </w:r>
      <w:r w:rsidR="00773A2A">
        <w:rPr>
          <w:rFonts w:eastAsia="Calibri"/>
          <w:sz w:val="20"/>
          <w:szCs w:val="20"/>
        </w:rPr>
        <w:t xml:space="preserve">lowing these safety guidelines. </w:t>
      </w:r>
    </w:p>
    <w:p w14:paraId="4B6F5672" w14:textId="77777777" w:rsidR="00773A2A" w:rsidRDefault="009F2EAA" w:rsidP="00773A2A">
      <w:pPr>
        <w:spacing w:after="160" w:line="259" w:lineRule="auto"/>
        <w:jc w:val="both"/>
        <w:rPr>
          <w:rFonts w:eastAsia="Calibri"/>
          <w:sz w:val="20"/>
          <w:szCs w:val="20"/>
        </w:rPr>
      </w:pPr>
      <w:r w:rsidRPr="009F2EAA">
        <w:rPr>
          <w:rFonts w:eastAsia="Calibri" w:cs="Arial"/>
          <w:sz w:val="20"/>
          <w:szCs w:val="20"/>
        </w:rPr>
        <w:t>General Precautions</w:t>
      </w:r>
      <w:r w:rsidR="00773A2A">
        <w:rPr>
          <w:rFonts w:eastAsia="Calibri" w:cs="Arial"/>
          <w:sz w:val="20"/>
          <w:szCs w:val="20"/>
        </w:rPr>
        <w:t>:</w:t>
      </w:r>
    </w:p>
    <w:p w14:paraId="09542850" w14:textId="77777777" w:rsidR="009F2EAA" w:rsidRPr="009F2EAA" w:rsidRDefault="00773A2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 xml:space="preserve">Cylinders shall be secured in an upright position in a safe, dry, well-ventilated place prepared </w:t>
      </w:r>
      <w:r>
        <w:rPr>
          <w:rFonts w:eastAsia="Calibri"/>
          <w:sz w:val="20"/>
          <w:szCs w:val="20"/>
        </w:rPr>
        <w:tab/>
      </w:r>
      <w:r w:rsidR="009F2EAA" w:rsidRPr="009F2EAA">
        <w:rPr>
          <w:rFonts w:eastAsia="Calibri"/>
          <w:sz w:val="20"/>
          <w:szCs w:val="20"/>
        </w:rPr>
        <w:t>and reserved for the purpose</w:t>
      </w:r>
      <w:r>
        <w:rPr>
          <w:rFonts w:eastAsia="Calibri"/>
          <w:sz w:val="20"/>
          <w:szCs w:val="20"/>
        </w:rPr>
        <w:t>.</w:t>
      </w:r>
    </w:p>
    <w:p w14:paraId="7C9B3C48" w14:textId="77777777" w:rsidR="009F2EAA" w:rsidRPr="009F2EAA" w:rsidRDefault="009F2EAA" w:rsidP="009F2EAA">
      <w:pPr>
        <w:spacing w:after="160" w:line="259" w:lineRule="auto"/>
        <w:contextualSpacing/>
        <w:jc w:val="both"/>
        <w:rPr>
          <w:rFonts w:eastAsia="Calibri"/>
          <w:sz w:val="20"/>
          <w:szCs w:val="20"/>
        </w:rPr>
      </w:pPr>
    </w:p>
    <w:p w14:paraId="6A649156" w14:textId="77777777" w:rsidR="009F2EAA" w:rsidRPr="009F2EAA" w:rsidRDefault="00773A2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Cylinders shall not be kept in unventilated enclosures such as gang boxes or lockers</w:t>
      </w:r>
      <w:r>
        <w:rPr>
          <w:rFonts w:eastAsia="Calibri"/>
          <w:sz w:val="20"/>
          <w:szCs w:val="20"/>
        </w:rPr>
        <w:t>.</w:t>
      </w:r>
    </w:p>
    <w:p w14:paraId="2F2881C3" w14:textId="77777777" w:rsidR="00773A2A" w:rsidRDefault="00773A2A" w:rsidP="009F2EAA">
      <w:pPr>
        <w:numPr>
          <w:ilvl w:val="3"/>
          <w:numId w:val="0"/>
        </w:numPr>
        <w:spacing w:after="160" w:line="259" w:lineRule="auto"/>
        <w:ind w:hanging="1080"/>
        <w:contextualSpacing/>
        <w:jc w:val="both"/>
        <w:rPr>
          <w:rFonts w:eastAsia="Calibri"/>
          <w:sz w:val="20"/>
          <w:szCs w:val="20"/>
        </w:rPr>
      </w:pPr>
    </w:p>
    <w:p w14:paraId="4006D06F" w14:textId="77777777" w:rsidR="009F2EAA" w:rsidRPr="009F2EAA" w:rsidRDefault="00773A2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 xml:space="preserve">Cylinders shall not be stored in the same area as flammable substances, such as oil and volatile </w:t>
      </w:r>
      <w:r>
        <w:rPr>
          <w:rFonts w:eastAsia="Calibri"/>
          <w:sz w:val="20"/>
          <w:szCs w:val="20"/>
        </w:rPr>
        <w:tab/>
      </w:r>
      <w:r w:rsidR="009F2EAA" w:rsidRPr="009F2EAA">
        <w:rPr>
          <w:rFonts w:eastAsia="Calibri"/>
          <w:sz w:val="20"/>
          <w:szCs w:val="20"/>
        </w:rPr>
        <w:t>liquids or near sources of heat, such as radiators or furnaces</w:t>
      </w:r>
      <w:r>
        <w:rPr>
          <w:rFonts w:eastAsia="Calibri"/>
          <w:sz w:val="20"/>
          <w:szCs w:val="20"/>
        </w:rPr>
        <w:t>.</w:t>
      </w:r>
    </w:p>
    <w:p w14:paraId="60770DCF" w14:textId="77777777" w:rsidR="009F2EAA" w:rsidRPr="009F2EAA" w:rsidRDefault="009F2EAA" w:rsidP="009F2EAA">
      <w:pPr>
        <w:spacing w:after="160" w:line="259" w:lineRule="auto"/>
        <w:contextualSpacing/>
        <w:jc w:val="both"/>
        <w:rPr>
          <w:rFonts w:eastAsia="Calibri"/>
          <w:sz w:val="20"/>
          <w:szCs w:val="20"/>
        </w:rPr>
      </w:pPr>
    </w:p>
    <w:p w14:paraId="5259B615" w14:textId="77777777" w:rsidR="009F2EAA" w:rsidRPr="009F2EAA" w:rsidRDefault="00773A2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 xml:space="preserve">Cylinders shall not be stored near elevators, gangways, stairwells, or other places where they can </w:t>
      </w:r>
      <w:r>
        <w:rPr>
          <w:rFonts w:eastAsia="Calibri"/>
          <w:sz w:val="20"/>
          <w:szCs w:val="20"/>
        </w:rPr>
        <w:tab/>
      </w:r>
      <w:r w:rsidR="009F2EAA" w:rsidRPr="009F2EAA">
        <w:rPr>
          <w:rFonts w:eastAsia="Calibri"/>
          <w:sz w:val="20"/>
          <w:szCs w:val="20"/>
        </w:rPr>
        <w:t>easily be knocked down or damaged</w:t>
      </w:r>
      <w:r>
        <w:rPr>
          <w:rFonts w:eastAsia="Calibri"/>
          <w:sz w:val="20"/>
          <w:szCs w:val="20"/>
        </w:rPr>
        <w:t>.</w:t>
      </w:r>
    </w:p>
    <w:p w14:paraId="56AB3572" w14:textId="77777777" w:rsidR="009F2EAA" w:rsidRPr="009F2EAA" w:rsidRDefault="009F2EAA" w:rsidP="009F2EAA">
      <w:pPr>
        <w:spacing w:after="160" w:line="259" w:lineRule="auto"/>
        <w:contextualSpacing/>
        <w:jc w:val="both"/>
        <w:rPr>
          <w:rFonts w:eastAsia="Calibri"/>
          <w:sz w:val="20"/>
          <w:szCs w:val="20"/>
        </w:rPr>
      </w:pPr>
    </w:p>
    <w:p w14:paraId="012E2CE3" w14:textId="77777777" w:rsidR="00480E80" w:rsidRDefault="00773A2A" w:rsidP="00480E80">
      <w:pPr>
        <w:numPr>
          <w:ilvl w:val="3"/>
          <w:numId w:val="0"/>
        </w:numPr>
        <w:spacing w:after="160" w:line="259" w:lineRule="auto"/>
        <w:ind w:hanging="1080"/>
        <w:contextualSpacing/>
        <w:jc w:val="both"/>
        <w:rPr>
          <w:rFonts w:eastAsia="Calibri"/>
          <w:sz w:val="20"/>
          <w:szCs w:val="20"/>
        </w:rPr>
      </w:pPr>
      <w:r>
        <w:rPr>
          <w:rFonts w:eastAsia="Calibri"/>
          <w:sz w:val="20"/>
          <w:szCs w:val="20"/>
        </w:rPr>
        <w:lastRenderedPageBreak/>
        <w:tab/>
      </w:r>
      <w:r>
        <w:rPr>
          <w:rFonts w:eastAsia="Calibri"/>
          <w:sz w:val="20"/>
          <w:szCs w:val="20"/>
        </w:rPr>
        <w:tab/>
        <w:t>•</w:t>
      </w:r>
      <w:r w:rsidR="009F2EAA" w:rsidRPr="009F2EAA">
        <w:rPr>
          <w:rFonts w:eastAsia="Calibri"/>
          <w:sz w:val="20"/>
          <w:szCs w:val="20"/>
        </w:rPr>
        <w:t xml:space="preserve">Empty and full cylinders shall be stored separately, with empty cylinders being plainly identified </w:t>
      </w:r>
      <w:r>
        <w:rPr>
          <w:rFonts w:eastAsia="Calibri"/>
          <w:sz w:val="20"/>
          <w:szCs w:val="20"/>
        </w:rPr>
        <w:tab/>
      </w:r>
      <w:r w:rsidR="009F2EAA" w:rsidRPr="009F2EAA">
        <w:rPr>
          <w:rFonts w:eastAsia="Calibri"/>
          <w:sz w:val="20"/>
          <w:szCs w:val="20"/>
        </w:rPr>
        <w:t>as such to avoid confusion.</w:t>
      </w:r>
    </w:p>
    <w:p w14:paraId="637CA51A" w14:textId="77777777" w:rsidR="009F2EAA" w:rsidRPr="009F2EAA" w:rsidRDefault="00480E80" w:rsidP="00480E80">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9F2EAA" w:rsidRPr="009F2EAA">
        <w:rPr>
          <w:rFonts w:eastAsia="Calibri" w:cs="Arial"/>
          <w:sz w:val="20"/>
          <w:szCs w:val="20"/>
        </w:rPr>
        <w:t>Gas Specific Storage Guidelines:</w:t>
      </w:r>
    </w:p>
    <w:p w14:paraId="3FD6CFD5" w14:textId="77777777" w:rsidR="00773A2A" w:rsidRDefault="00773A2A" w:rsidP="009F2EAA">
      <w:pPr>
        <w:numPr>
          <w:ilvl w:val="3"/>
          <w:numId w:val="0"/>
        </w:numPr>
        <w:spacing w:after="160" w:line="259" w:lineRule="auto"/>
        <w:ind w:hanging="1080"/>
        <w:contextualSpacing/>
        <w:jc w:val="both"/>
        <w:rPr>
          <w:rFonts w:eastAsia="Calibri"/>
          <w:sz w:val="20"/>
          <w:szCs w:val="20"/>
        </w:rPr>
      </w:pPr>
    </w:p>
    <w:p w14:paraId="2EEFE736" w14:textId="77777777" w:rsidR="009F2EAA" w:rsidRPr="009F2EAA" w:rsidRDefault="00773A2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r w:rsidR="009F2EAA" w:rsidRPr="009F2EAA">
        <w:rPr>
          <w:rFonts w:eastAsia="Calibri"/>
          <w:sz w:val="20"/>
          <w:szCs w:val="20"/>
        </w:rPr>
        <w:t>Oxyge</w:t>
      </w:r>
      <w:r w:rsidR="009F2EAA" w:rsidRPr="009F2EAA">
        <w:rPr>
          <w:rFonts w:eastAsia="Calibri"/>
          <w:i/>
          <w:iCs/>
          <w:sz w:val="20"/>
          <w:szCs w:val="20"/>
        </w:rPr>
        <w:t xml:space="preserve">n </w:t>
      </w:r>
      <w:r w:rsidR="009F2EAA" w:rsidRPr="009F2EAA">
        <w:rPr>
          <w:rFonts w:eastAsia="Calibri"/>
          <w:sz w:val="20"/>
          <w:szCs w:val="20"/>
        </w:rPr>
        <w:t xml:space="preserve">cylinders should not be stored within 20 feet of highly combustible materials, oil, grease, </w:t>
      </w:r>
      <w:r>
        <w:rPr>
          <w:rFonts w:eastAsia="Calibri"/>
          <w:sz w:val="20"/>
          <w:szCs w:val="20"/>
        </w:rPr>
        <w:tab/>
      </w:r>
      <w:r w:rsidR="009F2EAA" w:rsidRPr="009F2EAA">
        <w:rPr>
          <w:rFonts w:eastAsia="Calibri"/>
          <w:sz w:val="20"/>
          <w:szCs w:val="20"/>
        </w:rPr>
        <w:t xml:space="preserve">wood shavings, or cylinders containing flammable gases. (However, for </w:t>
      </w:r>
      <w:r>
        <w:rPr>
          <w:rFonts w:eastAsia="Calibri"/>
          <w:sz w:val="20"/>
          <w:szCs w:val="20"/>
        </w:rPr>
        <w:t>PSG</w:t>
      </w:r>
      <w:r w:rsidR="009F2EAA" w:rsidRPr="009F2EAA">
        <w:rPr>
          <w:rFonts w:eastAsia="Calibri"/>
          <w:sz w:val="20"/>
          <w:szCs w:val="20"/>
        </w:rPr>
        <w:t xml:space="preserve">, oxygen and </w:t>
      </w:r>
      <w:r>
        <w:rPr>
          <w:rFonts w:eastAsia="Calibri"/>
          <w:sz w:val="20"/>
          <w:szCs w:val="20"/>
        </w:rPr>
        <w:tab/>
      </w:r>
      <w:r w:rsidR="009F2EAA" w:rsidRPr="009F2EAA">
        <w:rPr>
          <w:rFonts w:eastAsia="Calibri"/>
          <w:sz w:val="20"/>
          <w:szCs w:val="20"/>
        </w:rPr>
        <w:t xml:space="preserve">acetylene are typically paired on a common transfer cart for use.) If closer than 20 feet, </w:t>
      </w:r>
      <w:r>
        <w:rPr>
          <w:rFonts w:eastAsia="Calibri"/>
          <w:sz w:val="20"/>
          <w:szCs w:val="20"/>
        </w:rPr>
        <w:tab/>
      </w:r>
      <w:r w:rsidR="009F2EAA" w:rsidRPr="009F2EAA">
        <w:rPr>
          <w:rFonts w:eastAsia="Calibri"/>
          <w:sz w:val="20"/>
          <w:szCs w:val="20"/>
        </w:rPr>
        <w:t>cylinders should be separated by a wall with a fire-resistance rating of at least 30 minutes.</w:t>
      </w:r>
    </w:p>
    <w:p w14:paraId="4485CB5F" w14:textId="77777777" w:rsidR="009F2EAA" w:rsidRPr="009F2EAA" w:rsidRDefault="009F2EAA" w:rsidP="009F2EAA">
      <w:pPr>
        <w:spacing w:after="160" w:line="259" w:lineRule="auto"/>
        <w:contextualSpacing/>
        <w:jc w:val="both"/>
        <w:rPr>
          <w:rFonts w:eastAsia="Calibri"/>
          <w:sz w:val="20"/>
          <w:szCs w:val="20"/>
        </w:rPr>
      </w:pPr>
    </w:p>
    <w:p w14:paraId="5BD7E3A9" w14:textId="77777777" w:rsidR="009F2EAA" w:rsidRPr="009F2EAA" w:rsidRDefault="00773A2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r w:rsidR="009F2EAA" w:rsidRPr="009F2EAA">
        <w:rPr>
          <w:rFonts w:eastAsia="Calibri"/>
          <w:sz w:val="20"/>
          <w:szCs w:val="20"/>
        </w:rPr>
        <w:t>Acetylene and liquefied fuel gas</w:t>
      </w:r>
      <w:r w:rsidR="009F2EAA" w:rsidRPr="009F2EAA">
        <w:rPr>
          <w:rFonts w:eastAsia="Calibri"/>
          <w:i/>
          <w:iCs/>
          <w:sz w:val="20"/>
          <w:szCs w:val="20"/>
        </w:rPr>
        <w:t xml:space="preserve"> </w:t>
      </w:r>
      <w:r w:rsidR="009F2EAA" w:rsidRPr="009F2EAA">
        <w:rPr>
          <w:rFonts w:eastAsia="Calibri"/>
          <w:sz w:val="20"/>
          <w:szCs w:val="20"/>
        </w:rPr>
        <w:t xml:space="preserve">cylinders should be stored with the valve end up. Acetylene </w:t>
      </w:r>
      <w:r>
        <w:rPr>
          <w:rFonts w:eastAsia="Calibri"/>
          <w:sz w:val="20"/>
          <w:szCs w:val="20"/>
        </w:rPr>
        <w:tab/>
      </w:r>
      <w:r w:rsidR="009F2EAA" w:rsidRPr="009F2EAA">
        <w:rPr>
          <w:rFonts w:eastAsia="Calibri"/>
          <w:sz w:val="20"/>
          <w:szCs w:val="20"/>
        </w:rPr>
        <w:t xml:space="preserve">storage areas must be well ventilated and should have no other compressed gases.   </w:t>
      </w:r>
    </w:p>
    <w:p w14:paraId="0445B6AB" w14:textId="77777777" w:rsidR="009F2EAA" w:rsidRPr="009F2EAA" w:rsidRDefault="009F2EAA" w:rsidP="009F2EAA">
      <w:pPr>
        <w:spacing w:after="160" w:line="259" w:lineRule="auto"/>
        <w:contextualSpacing/>
        <w:jc w:val="both"/>
        <w:rPr>
          <w:rFonts w:eastAsia="Calibri"/>
          <w:sz w:val="20"/>
          <w:szCs w:val="20"/>
        </w:rPr>
      </w:pPr>
    </w:p>
    <w:p w14:paraId="017D83A9" w14:textId="77777777" w:rsidR="009F2EAA" w:rsidRPr="009F2EAA" w:rsidRDefault="00773A2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r w:rsidR="009F2EAA" w:rsidRPr="009F2EAA">
        <w:rPr>
          <w:rFonts w:eastAsia="Calibri"/>
          <w:sz w:val="20"/>
          <w:szCs w:val="20"/>
        </w:rPr>
        <w:t>All open flames are prohibited in gas storage areas.</w:t>
      </w:r>
    </w:p>
    <w:p w14:paraId="47308D16" w14:textId="77777777" w:rsidR="00773A2A" w:rsidRDefault="00773A2A" w:rsidP="009F2EAA">
      <w:pPr>
        <w:numPr>
          <w:ilvl w:val="2"/>
          <w:numId w:val="0"/>
        </w:numPr>
        <w:tabs>
          <w:tab w:val="left" w:pos="1620"/>
        </w:tabs>
        <w:spacing w:before="240" w:after="160"/>
        <w:ind w:hanging="900"/>
        <w:contextualSpacing/>
        <w:jc w:val="both"/>
        <w:rPr>
          <w:rFonts w:eastAsia="Calibri" w:cs="Arial"/>
          <w:sz w:val="20"/>
          <w:szCs w:val="20"/>
        </w:rPr>
      </w:pPr>
    </w:p>
    <w:p w14:paraId="2CA162A8" w14:textId="77777777" w:rsidR="009F2EAA" w:rsidRPr="009F2EAA" w:rsidRDefault="00480E80"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F2EAA" w:rsidRPr="009F2EAA">
        <w:rPr>
          <w:rFonts w:eastAsia="Calibri" w:cs="Arial"/>
          <w:sz w:val="20"/>
          <w:szCs w:val="20"/>
        </w:rPr>
        <w:t>Cylinder Storage Room Guidelines:</w:t>
      </w:r>
    </w:p>
    <w:p w14:paraId="465287EB" w14:textId="77777777" w:rsidR="00480E80" w:rsidRDefault="00480E80" w:rsidP="009F2EAA">
      <w:pPr>
        <w:numPr>
          <w:ilvl w:val="3"/>
          <w:numId w:val="0"/>
        </w:numPr>
        <w:spacing w:after="160" w:line="259" w:lineRule="auto"/>
        <w:ind w:hanging="1080"/>
        <w:contextualSpacing/>
        <w:jc w:val="both"/>
        <w:rPr>
          <w:rFonts w:eastAsia="Calibri"/>
          <w:sz w:val="20"/>
          <w:szCs w:val="20"/>
        </w:rPr>
      </w:pPr>
    </w:p>
    <w:p w14:paraId="673527BF" w14:textId="77777777" w:rsidR="009F2EAA" w:rsidRP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Well ventilated to prevent the accumulation of explosive concentrations of gas</w:t>
      </w:r>
      <w:r>
        <w:rPr>
          <w:rFonts w:eastAsia="Calibri"/>
          <w:sz w:val="20"/>
          <w:szCs w:val="20"/>
        </w:rPr>
        <w:t>.</w:t>
      </w:r>
    </w:p>
    <w:p w14:paraId="7D42C15F" w14:textId="77777777" w:rsidR="009F2EAA" w:rsidRPr="009F2EAA" w:rsidRDefault="009F2EAA" w:rsidP="009F2EAA">
      <w:pPr>
        <w:spacing w:after="160" w:line="259" w:lineRule="auto"/>
        <w:contextualSpacing/>
        <w:jc w:val="both"/>
        <w:rPr>
          <w:rFonts w:eastAsia="Calibri"/>
          <w:sz w:val="20"/>
          <w:szCs w:val="20"/>
        </w:rPr>
      </w:pPr>
    </w:p>
    <w:p w14:paraId="05014470" w14:textId="77777777" w:rsidR="009F2EAA" w:rsidRP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No ignition sources</w:t>
      </w:r>
      <w:r>
        <w:rPr>
          <w:rFonts w:eastAsia="Calibri"/>
          <w:sz w:val="20"/>
          <w:szCs w:val="20"/>
        </w:rPr>
        <w:t>.</w:t>
      </w:r>
    </w:p>
    <w:p w14:paraId="1CAB37F5" w14:textId="77777777" w:rsidR="009F2EAA" w:rsidRPr="009F2EAA" w:rsidRDefault="009F2EAA" w:rsidP="009F2EAA">
      <w:pPr>
        <w:spacing w:after="160" w:line="259" w:lineRule="auto"/>
        <w:contextualSpacing/>
        <w:jc w:val="both"/>
        <w:rPr>
          <w:rFonts w:eastAsia="Calibri"/>
          <w:sz w:val="20"/>
          <w:szCs w:val="20"/>
        </w:rPr>
      </w:pPr>
    </w:p>
    <w:p w14:paraId="6F8E7F7A" w14:textId="77777777" w:rsidR="009F2EAA" w:rsidRP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Smoking </w:t>
      </w:r>
      <w:proofErr w:type="gramStart"/>
      <w:r>
        <w:rPr>
          <w:rFonts w:eastAsia="Calibri"/>
          <w:sz w:val="20"/>
          <w:szCs w:val="20"/>
        </w:rPr>
        <w:t>prohibited,</w:t>
      </w:r>
      <w:proofErr w:type="gramEnd"/>
      <w:r>
        <w:rPr>
          <w:rFonts w:eastAsia="Calibri"/>
          <w:sz w:val="20"/>
          <w:szCs w:val="20"/>
        </w:rPr>
        <w:t xml:space="preserve"> signage posted.</w:t>
      </w:r>
    </w:p>
    <w:p w14:paraId="48BD647B" w14:textId="77777777" w:rsidR="009F2EAA" w:rsidRPr="009F2EAA" w:rsidRDefault="009F2EAA" w:rsidP="009F2EAA">
      <w:pPr>
        <w:spacing w:after="160" w:line="259" w:lineRule="auto"/>
        <w:contextualSpacing/>
        <w:jc w:val="both"/>
        <w:rPr>
          <w:rFonts w:eastAsia="Calibri"/>
          <w:sz w:val="20"/>
          <w:szCs w:val="20"/>
        </w:rPr>
      </w:pPr>
    </w:p>
    <w:p w14:paraId="24C49196" w14:textId="77777777" w:rsidR="009F2EAA" w:rsidRP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All permanent wiring in conduit</w:t>
      </w:r>
      <w:r>
        <w:rPr>
          <w:rFonts w:eastAsia="Calibri"/>
          <w:sz w:val="20"/>
          <w:szCs w:val="20"/>
        </w:rPr>
        <w:t>.</w:t>
      </w:r>
    </w:p>
    <w:p w14:paraId="2411E53C" w14:textId="77777777" w:rsidR="009F2EAA" w:rsidRPr="009F2EAA" w:rsidRDefault="009F2EAA" w:rsidP="009F2EAA">
      <w:pPr>
        <w:spacing w:after="160" w:line="259" w:lineRule="auto"/>
        <w:contextualSpacing/>
        <w:jc w:val="both"/>
        <w:rPr>
          <w:rFonts w:eastAsia="Calibri"/>
          <w:sz w:val="20"/>
          <w:szCs w:val="20"/>
        </w:rPr>
      </w:pPr>
    </w:p>
    <w:p w14:paraId="5D93FC0C" w14:textId="77777777" w:rsidR="009F2EAA" w:rsidRP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Electric lights (portable and fixed) equipped with guards to prevent breakage</w:t>
      </w:r>
      <w:r>
        <w:rPr>
          <w:rFonts w:eastAsia="Calibri"/>
          <w:sz w:val="20"/>
          <w:szCs w:val="20"/>
        </w:rPr>
        <w:t>.</w:t>
      </w:r>
    </w:p>
    <w:p w14:paraId="11393C9E" w14:textId="77777777" w:rsidR="009F2EAA" w:rsidRPr="009F2EAA" w:rsidRDefault="009F2EAA" w:rsidP="009F2EAA">
      <w:pPr>
        <w:spacing w:after="160" w:line="259" w:lineRule="auto"/>
        <w:contextualSpacing/>
        <w:jc w:val="both"/>
        <w:rPr>
          <w:rFonts w:eastAsia="Calibri"/>
          <w:sz w:val="20"/>
          <w:szCs w:val="20"/>
        </w:rPr>
      </w:pPr>
    </w:p>
    <w:p w14:paraId="5BD72E39" w14:textId="77777777" w:rsidR="009F2EAA" w:rsidRPr="00593E6A" w:rsidRDefault="00480E80" w:rsidP="00593E6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Electric switches located outside the room</w:t>
      </w:r>
      <w:r>
        <w:rPr>
          <w:rFonts w:eastAsia="Calibri"/>
          <w:sz w:val="20"/>
          <w:szCs w:val="20"/>
        </w:rPr>
        <w:t>.</w:t>
      </w:r>
    </w:p>
    <w:p w14:paraId="69151CB7" w14:textId="77777777" w:rsidR="009F2EAA" w:rsidRDefault="009F2EAA" w:rsidP="00480E80">
      <w:pPr>
        <w:numPr>
          <w:ilvl w:val="1"/>
          <w:numId w:val="0"/>
        </w:numPr>
        <w:tabs>
          <w:tab w:val="left" w:pos="1620"/>
        </w:tabs>
        <w:spacing w:before="240" w:after="160"/>
        <w:ind w:left="900" w:hanging="900"/>
        <w:contextualSpacing/>
        <w:jc w:val="center"/>
        <w:rPr>
          <w:rFonts w:eastAsia="Calibri" w:cs="Arial"/>
          <w:b/>
          <w:szCs w:val="22"/>
          <w:u w:val="single"/>
        </w:rPr>
      </w:pPr>
      <w:r w:rsidRPr="009F2EAA">
        <w:rPr>
          <w:rFonts w:eastAsia="Calibri" w:cs="Arial"/>
          <w:b/>
          <w:szCs w:val="22"/>
          <w:u w:val="single"/>
        </w:rPr>
        <w:t>Transporting</w:t>
      </w:r>
    </w:p>
    <w:p w14:paraId="69FB9AC7" w14:textId="77777777" w:rsidR="00480E80" w:rsidRPr="009F2EAA" w:rsidRDefault="00480E80" w:rsidP="00480E80">
      <w:pPr>
        <w:numPr>
          <w:ilvl w:val="1"/>
          <w:numId w:val="0"/>
        </w:numPr>
        <w:tabs>
          <w:tab w:val="left" w:pos="1620"/>
        </w:tabs>
        <w:spacing w:before="240" w:after="160"/>
        <w:ind w:left="900" w:hanging="900"/>
        <w:contextualSpacing/>
        <w:jc w:val="center"/>
        <w:rPr>
          <w:rFonts w:eastAsia="Calibri" w:cs="Arial"/>
          <w:b/>
          <w:szCs w:val="22"/>
          <w:u w:val="single"/>
        </w:rPr>
      </w:pPr>
    </w:p>
    <w:p w14:paraId="746DBF9F" w14:textId="77777777" w:rsidR="009F2EAA" w:rsidRPr="009F2EAA" w:rsidRDefault="00480E80"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F2EAA" w:rsidRPr="009F2EAA">
        <w:rPr>
          <w:rFonts w:eastAsia="Calibri" w:cs="Arial"/>
          <w:sz w:val="20"/>
          <w:szCs w:val="20"/>
        </w:rPr>
        <w:t xml:space="preserve">Motor vehicle transport of cylinders shall only be done with vehicles equipped with racks or other means of securing the cylinders.  A hand truck (dolly) shall be used for the transfer of compressed gas cylinders from one location of the jobsite to another.  </w:t>
      </w:r>
    </w:p>
    <w:p w14:paraId="315D3637" w14:textId="77777777" w:rsidR="00480E80" w:rsidRDefault="00480E80"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p>
    <w:p w14:paraId="5FF5B4C5" w14:textId="77777777" w:rsidR="009F2EAA" w:rsidRPr="009F2EAA" w:rsidRDefault="00480E80"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F2EAA" w:rsidRPr="009F2EAA">
        <w:rPr>
          <w:rFonts w:eastAsia="Calibri" w:cs="Arial"/>
          <w:sz w:val="20"/>
          <w:szCs w:val="20"/>
        </w:rPr>
        <w:t>Cylinder transport precautions include:</w:t>
      </w:r>
    </w:p>
    <w:p w14:paraId="7024CCC5" w14:textId="77777777" w:rsidR="00480E80" w:rsidRDefault="00480E80" w:rsidP="009F2EAA">
      <w:pPr>
        <w:numPr>
          <w:ilvl w:val="3"/>
          <w:numId w:val="0"/>
        </w:numPr>
        <w:spacing w:after="160" w:line="259" w:lineRule="auto"/>
        <w:ind w:hanging="1080"/>
        <w:contextualSpacing/>
        <w:jc w:val="both"/>
        <w:rPr>
          <w:rFonts w:eastAsia="Calibri"/>
          <w:sz w:val="20"/>
          <w:szCs w:val="20"/>
        </w:rPr>
      </w:pPr>
    </w:p>
    <w:p w14:paraId="4ED08E49" w14:textId="77777777" w:rsidR="009F2EAA" w:rsidRP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Cylinders shall not be rolled or lifted by the valve or valve cap.</w:t>
      </w:r>
    </w:p>
    <w:p w14:paraId="31EF75F0" w14:textId="77777777" w:rsidR="009F2EAA" w:rsidRPr="009F2EAA" w:rsidRDefault="009F2EAA" w:rsidP="009F2EAA">
      <w:pPr>
        <w:spacing w:after="160" w:line="259" w:lineRule="auto"/>
        <w:contextualSpacing/>
        <w:jc w:val="both"/>
        <w:rPr>
          <w:rFonts w:eastAsia="Calibri"/>
          <w:sz w:val="20"/>
          <w:szCs w:val="20"/>
        </w:rPr>
      </w:pPr>
    </w:p>
    <w:p w14:paraId="4A8C55D9" w14:textId="77777777" w:rsid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Cylinder valves will be shut off and valve caps in place during transit from location to location.</w:t>
      </w:r>
    </w:p>
    <w:p w14:paraId="04C641A0" w14:textId="77777777" w:rsidR="00034DBA" w:rsidRDefault="00034DBA" w:rsidP="009F2EAA">
      <w:pPr>
        <w:numPr>
          <w:ilvl w:val="3"/>
          <w:numId w:val="0"/>
        </w:numPr>
        <w:spacing w:after="160" w:line="259" w:lineRule="auto"/>
        <w:ind w:hanging="1080"/>
        <w:contextualSpacing/>
        <w:jc w:val="both"/>
        <w:rPr>
          <w:rFonts w:eastAsia="Calibri"/>
          <w:sz w:val="20"/>
          <w:szCs w:val="20"/>
        </w:rPr>
      </w:pPr>
    </w:p>
    <w:p w14:paraId="44D037CB" w14:textId="77777777" w:rsidR="00034DBA" w:rsidRPr="009F2EAA" w:rsidRDefault="00034DBA"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If a cylinder cap can not be removed, the cylinder will be returned to the supplier.</w:t>
      </w:r>
    </w:p>
    <w:p w14:paraId="02F94815" w14:textId="77777777" w:rsidR="00480E80" w:rsidRDefault="00480E80" w:rsidP="009F2EAA">
      <w:pPr>
        <w:numPr>
          <w:ilvl w:val="3"/>
          <w:numId w:val="0"/>
        </w:numPr>
        <w:spacing w:after="160" w:line="259" w:lineRule="auto"/>
        <w:ind w:hanging="1080"/>
        <w:contextualSpacing/>
        <w:jc w:val="both"/>
        <w:rPr>
          <w:rFonts w:eastAsia="Calibri"/>
          <w:sz w:val="20"/>
          <w:szCs w:val="20"/>
        </w:rPr>
      </w:pPr>
    </w:p>
    <w:p w14:paraId="304EFF3C" w14:textId="77777777" w:rsidR="009F2EAA" w:rsidRPr="009F2EAA" w:rsidRDefault="00480E80"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034DBA">
        <w:rPr>
          <w:rFonts w:eastAsia="Calibri"/>
          <w:sz w:val="20"/>
          <w:szCs w:val="20"/>
        </w:rPr>
        <w:t xml:space="preserve"> </w:t>
      </w:r>
      <w:r w:rsidR="009F2EAA" w:rsidRPr="009F2EAA">
        <w:rPr>
          <w:rFonts w:eastAsia="Calibri"/>
          <w:sz w:val="20"/>
          <w:szCs w:val="20"/>
        </w:rPr>
        <w:t xml:space="preserve">Cylinders that have been dropped during transit shall be taken out of service and returned to the </w:t>
      </w:r>
      <w:r>
        <w:rPr>
          <w:rFonts w:eastAsia="Calibri"/>
          <w:sz w:val="20"/>
          <w:szCs w:val="20"/>
        </w:rPr>
        <w:tab/>
      </w:r>
      <w:r w:rsidR="009F2EAA" w:rsidRPr="009F2EAA">
        <w:rPr>
          <w:rFonts w:eastAsia="Calibri"/>
          <w:sz w:val="20"/>
          <w:szCs w:val="20"/>
        </w:rPr>
        <w:t>supplier for inspection.</w:t>
      </w:r>
    </w:p>
    <w:p w14:paraId="61A25DB7" w14:textId="77777777" w:rsidR="009F2EAA" w:rsidRPr="009F2EAA" w:rsidRDefault="009F2EAA" w:rsidP="009F2EAA">
      <w:pPr>
        <w:spacing w:after="160" w:line="259" w:lineRule="auto"/>
        <w:contextualSpacing/>
        <w:jc w:val="both"/>
        <w:rPr>
          <w:rFonts w:eastAsia="Calibri"/>
          <w:sz w:val="20"/>
          <w:szCs w:val="20"/>
        </w:rPr>
      </w:pPr>
    </w:p>
    <w:p w14:paraId="2CF219D0" w14:textId="77777777" w:rsidR="00034DBA" w:rsidRPr="00034DBA" w:rsidRDefault="00480E80" w:rsidP="00593E6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F2EAA" w:rsidRPr="009F2EAA">
        <w:rPr>
          <w:rFonts w:eastAsia="Calibri"/>
          <w:sz w:val="20"/>
          <w:szCs w:val="20"/>
        </w:rPr>
        <w:t xml:space="preserve">Cylinders will be securely </w:t>
      </w:r>
      <w:proofErr w:type="gramStart"/>
      <w:r w:rsidR="009F2EAA" w:rsidRPr="009F2EAA">
        <w:rPr>
          <w:rFonts w:eastAsia="Calibri"/>
          <w:sz w:val="20"/>
          <w:szCs w:val="20"/>
        </w:rPr>
        <w:t>supported at all times</w:t>
      </w:r>
      <w:proofErr w:type="gramEnd"/>
      <w:r w:rsidR="009F2EAA" w:rsidRPr="009F2EAA">
        <w:rPr>
          <w:rFonts w:eastAsia="Calibri"/>
          <w:sz w:val="20"/>
          <w:szCs w:val="20"/>
        </w:rPr>
        <w:t xml:space="preserve"> during transport.</w:t>
      </w:r>
    </w:p>
    <w:p w14:paraId="5ED4FC5B" w14:textId="77777777" w:rsidR="00480E80" w:rsidRDefault="00480E80" w:rsidP="00480E80">
      <w:pPr>
        <w:numPr>
          <w:ilvl w:val="1"/>
          <w:numId w:val="0"/>
        </w:numPr>
        <w:tabs>
          <w:tab w:val="left" w:pos="1620"/>
        </w:tabs>
        <w:spacing w:before="240" w:after="160"/>
        <w:ind w:left="900" w:hanging="900"/>
        <w:contextualSpacing/>
        <w:jc w:val="center"/>
        <w:rPr>
          <w:rFonts w:eastAsia="Calibri" w:cs="Arial"/>
          <w:b/>
          <w:szCs w:val="22"/>
          <w:u w:val="single"/>
        </w:rPr>
      </w:pPr>
      <w:r w:rsidRPr="00480E80">
        <w:rPr>
          <w:rFonts w:eastAsia="Calibri" w:cs="Arial"/>
          <w:b/>
          <w:szCs w:val="22"/>
          <w:u w:val="single"/>
        </w:rPr>
        <w:lastRenderedPageBreak/>
        <w:t>Materials of Trade</w:t>
      </w:r>
    </w:p>
    <w:p w14:paraId="2BE206F3" w14:textId="77777777" w:rsidR="00480E80" w:rsidRPr="00480E80" w:rsidRDefault="00480E80" w:rsidP="00480E80">
      <w:pPr>
        <w:numPr>
          <w:ilvl w:val="1"/>
          <w:numId w:val="0"/>
        </w:numPr>
        <w:tabs>
          <w:tab w:val="left" w:pos="1620"/>
        </w:tabs>
        <w:spacing w:before="240" w:after="160"/>
        <w:ind w:left="900" w:hanging="900"/>
        <w:contextualSpacing/>
        <w:jc w:val="center"/>
        <w:rPr>
          <w:rFonts w:eastAsia="Calibri" w:cs="Arial"/>
          <w:b/>
          <w:sz w:val="20"/>
          <w:szCs w:val="20"/>
        </w:rPr>
      </w:pPr>
    </w:p>
    <w:p w14:paraId="19317497" w14:textId="77777777" w:rsidR="00480E80" w:rsidRDefault="00480E80" w:rsidP="00480E80">
      <w:pPr>
        <w:numPr>
          <w:ilvl w:val="1"/>
          <w:numId w:val="0"/>
        </w:numPr>
        <w:tabs>
          <w:tab w:val="left" w:pos="1620"/>
        </w:tabs>
        <w:spacing w:before="240" w:after="160"/>
        <w:ind w:left="900" w:hanging="900"/>
        <w:contextualSpacing/>
        <w:rPr>
          <w:rFonts w:eastAsia="Calibri" w:cs="Arial"/>
          <w:b/>
          <w:sz w:val="20"/>
          <w:szCs w:val="20"/>
        </w:rPr>
      </w:pPr>
      <w:r w:rsidRPr="00480E80">
        <w:rPr>
          <w:rFonts w:eastAsia="Calibri" w:cs="Arial"/>
          <w:b/>
          <w:sz w:val="20"/>
          <w:szCs w:val="20"/>
        </w:rPr>
        <w:t>Definition:</w:t>
      </w:r>
    </w:p>
    <w:p w14:paraId="1952964E" w14:textId="77777777" w:rsidR="00480E80" w:rsidRDefault="00480E80" w:rsidP="00480E80">
      <w:pPr>
        <w:numPr>
          <w:ilvl w:val="1"/>
          <w:numId w:val="0"/>
        </w:numPr>
        <w:tabs>
          <w:tab w:val="left" w:pos="1620"/>
        </w:tabs>
        <w:spacing w:before="240" w:after="160"/>
        <w:ind w:left="900" w:hanging="900"/>
        <w:contextualSpacing/>
        <w:rPr>
          <w:rFonts w:eastAsia="Calibri" w:cs="Arial"/>
          <w:b/>
          <w:sz w:val="20"/>
          <w:szCs w:val="20"/>
        </w:rPr>
      </w:pPr>
    </w:p>
    <w:p w14:paraId="105CF2D3" w14:textId="77777777" w:rsidR="00480E80" w:rsidRPr="00480E80" w:rsidRDefault="00480E80" w:rsidP="00480E80">
      <w:pPr>
        <w:autoSpaceDE w:val="0"/>
        <w:autoSpaceDN w:val="0"/>
        <w:adjustRightInd w:val="0"/>
        <w:jc w:val="both"/>
        <w:rPr>
          <w:rFonts w:eastAsiaTheme="minorHAnsi" w:cs="MIonic-Italic"/>
          <w:i/>
          <w:iCs/>
          <w:sz w:val="20"/>
          <w:szCs w:val="20"/>
        </w:rPr>
      </w:pPr>
      <w:r w:rsidRPr="00480E80">
        <w:rPr>
          <w:rFonts w:eastAsiaTheme="minorHAnsi" w:cs="MIonic-Italic"/>
          <w:i/>
          <w:iCs/>
          <w:sz w:val="20"/>
          <w:szCs w:val="20"/>
        </w:rPr>
        <w:t>49 CFR 171.8</w:t>
      </w:r>
    </w:p>
    <w:p w14:paraId="58DC3CE0" w14:textId="77777777" w:rsidR="00480E80" w:rsidRPr="00480E80" w:rsidRDefault="00480E80" w:rsidP="00480E80">
      <w:pPr>
        <w:autoSpaceDE w:val="0"/>
        <w:autoSpaceDN w:val="0"/>
        <w:adjustRightInd w:val="0"/>
        <w:jc w:val="both"/>
        <w:rPr>
          <w:rFonts w:eastAsiaTheme="minorHAnsi" w:cs="MIonic-Italic"/>
          <w:i/>
          <w:iCs/>
          <w:sz w:val="20"/>
          <w:szCs w:val="20"/>
        </w:rPr>
      </w:pPr>
    </w:p>
    <w:p w14:paraId="14184E5F" w14:textId="77777777" w:rsidR="00480E80" w:rsidRPr="00480E80" w:rsidRDefault="00480E80" w:rsidP="00480E80">
      <w:pPr>
        <w:autoSpaceDE w:val="0"/>
        <w:autoSpaceDN w:val="0"/>
        <w:adjustRightInd w:val="0"/>
        <w:jc w:val="both"/>
        <w:rPr>
          <w:rFonts w:eastAsiaTheme="minorHAnsi" w:cs="MIonic"/>
          <w:sz w:val="20"/>
          <w:szCs w:val="20"/>
        </w:rPr>
      </w:pPr>
      <w:r w:rsidRPr="00480E80">
        <w:rPr>
          <w:rFonts w:eastAsiaTheme="minorHAnsi" w:cs="MIonic-Italic"/>
          <w:i/>
          <w:iCs/>
          <w:sz w:val="20"/>
          <w:szCs w:val="20"/>
        </w:rPr>
        <w:t xml:space="preserve">Material of trade </w:t>
      </w:r>
      <w:r w:rsidRPr="00480E80">
        <w:rPr>
          <w:rFonts w:eastAsiaTheme="minorHAnsi" w:cs="MIonic"/>
          <w:sz w:val="20"/>
          <w:szCs w:val="20"/>
        </w:rPr>
        <w:t>means a hazardous</w:t>
      </w:r>
      <w:r>
        <w:rPr>
          <w:rFonts w:eastAsiaTheme="minorHAnsi" w:cs="MIonic"/>
          <w:sz w:val="20"/>
          <w:szCs w:val="20"/>
        </w:rPr>
        <w:t xml:space="preserve"> </w:t>
      </w:r>
      <w:r w:rsidRPr="00480E80">
        <w:rPr>
          <w:rFonts w:eastAsiaTheme="minorHAnsi" w:cs="MIonic"/>
          <w:sz w:val="20"/>
          <w:szCs w:val="20"/>
        </w:rPr>
        <w:t>material, other than a hazardous</w:t>
      </w:r>
      <w:r>
        <w:rPr>
          <w:rFonts w:eastAsiaTheme="minorHAnsi" w:cs="MIonic"/>
          <w:sz w:val="20"/>
          <w:szCs w:val="20"/>
        </w:rPr>
        <w:t xml:space="preserve"> waste, </w:t>
      </w:r>
      <w:r w:rsidRPr="00480E80">
        <w:rPr>
          <w:rFonts w:eastAsiaTheme="minorHAnsi" w:cs="MIonic"/>
          <w:sz w:val="20"/>
          <w:szCs w:val="20"/>
        </w:rPr>
        <w:t>that is carried on a motor vehicle—</w:t>
      </w:r>
    </w:p>
    <w:p w14:paraId="038342B2" w14:textId="77777777" w:rsidR="00480E80" w:rsidRPr="00480E80" w:rsidRDefault="00480E80" w:rsidP="00480E80">
      <w:pPr>
        <w:autoSpaceDE w:val="0"/>
        <w:autoSpaceDN w:val="0"/>
        <w:adjustRightInd w:val="0"/>
        <w:jc w:val="both"/>
        <w:rPr>
          <w:rFonts w:eastAsiaTheme="minorHAnsi" w:cs="MIonic"/>
          <w:sz w:val="20"/>
          <w:szCs w:val="20"/>
        </w:rPr>
      </w:pPr>
      <w:r w:rsidRPr="00480E80">
        <w:rPr>
          <w:rFonts w:eastAsiaTheme="minorHAnsi" w:cs="MIonic"/>
          <w:sz w:val="20"/>
          <w:szCs w:val="20"/>
        </w:rPr>
        <w:t>(1) For the purpose of protecting the</w:t>
      </w:r>
      <w:r>
        <w:rPr>
          <w:rFonts w:eastAsiaTheme="minorHAnsi" w:cs="MIonic"/>
          <w:sz w:val="20"/>
          <w:szCs w:val="20"/>
        </w:rPr>
        <w:t xml:space="preserve"> </w:t>
      </w:r>
      <w:r w:rsidRPr="00480E80">
        <w:rPr>
          <w:rFonts w:eastAsiaTheme="minorHAnsi" w:cs="MIonic"/>
          <w:sz w:val="20"/>
          <w:szCs w:val="20"/>
        </w:rPr>
        <w:t>health and safety of the motor vehicle</w:t>
      </w:r>
      <w:r>
        <w:rPr>
          <w:rFonts w:eastAsiaTheme="minorHAnsi" w:cs="MIonic"/>
          <w:sz w:val="20"/>
          <w:szCs w:val="20"/>
        </w:rPr>
        <w:t xml:space="preserve"> </w:t>
      </w:r>
      <w:r w:rsidRPr="00480E80">
        <w:rPr>
          <w:rFonts w:eastAsiaTheme="minorHAnsi" w:cs="MIonic"/>
          <w:sz w:val="20"/>
          <w:szCs w:val="20"/>
        </w:rPr>
        <w:t xml:space="preserve">operator or </w:t>
      </w:r>
      <w:proofErr w:type="gramStart"/>
      <w:r w:rsidRPr="00480E80">
        <w:rPr>
          <w:rFonts w:eastAsiaTheme="minorHAnsi" w:cs="MIonic"/>
          <w:sz w:val="20"/>
          <w:szCs w:val="20"/>
        </w:rPr>
        <w:t>passengers;</w:t>
      </w:r>
      <w:proofErr w:type="gramEnd"/>
    </w:p>
    <w:p w14:paraId="5DA25245" w14:textId="77777777" w:rsidR="00480E80" w:rsidRPr="00480E80" w:rsidRDefault="00480E80" w:rsidP="00480E80">
      <w:pPr>
        <w:autoSpaceDE w:val="0"/>
        <w:autoSpaceDN w:val="0"/>
        <w:adjustRightInd w:val="0"/>
        <w:jc w:val="both"/>
        <w:rPr>
          <w:rFonts w:eastAsiaTheme="minorHAnsi" w:cs="MIonic"/>
          <w:sz w:val="20"/>
          <w:szCs w:val="20"/>
        </w:rPr>
      </w:pPr>
      <w:r w:rsidRPr="00480E80">
        <w:rPr>
          <w:rFonts w:eastAsiaTheme="minorHAnsi" w:cs="MIonic"/>
          <w:sz w:val="20"/>
          <w:szCs w:val="20"/>
        </w:rPr>
        <w:t>(2) For the purpose of supporting the</w:t>
      </w:r>
      <w:r>
        <w:rPr>
          <w:rFonts w:eastAsiaTheme="minorHAnsi" w:cs="MIonic"/>
          <w:sz w:val="20"/>
          <w:szCs w:val="20"/>
        </w:rPr>
        <w:t xml:space="preserve"> </w:t>
      </w:r>
      <w:r w:rsidRPr="00480E80">
        <w:rPr>
          <w:rFonts w:eastAsiaTheme="minorHAnsi" w:cs="MIonic"/>
          <w:sz w:val="20"/>
          <w:szCs w:val="20"/>
        </w:rPr>
        <w:t>operation or maintenance of a motor</w:t>
      </w:r>
      <w:r>
        <w:rPr>
          <w:rFonts w:eastAsiaTheme="minorHAnsi" w:cs="MIonic"/>
          <w:sz w:val="20"/>
          <w:szCs w:val="20"/>
        </w:rPr>
        <w:t xml:space="preserve"> </w:t>
      </w:r>
      <w:r w:rsidRPr="00480E80">
        <w:rPr>
          <w:rFonts w:eastAsiaTheme="minorHAnsi" w:cs="MIonic"/>
          <w:sz w:val="20"/>
          <w:szCs w:val="20"/>
        </w:rPr>
        <w:t>vehicle (including its auxiliary equipment);</w:t>
      </w:r>
      <w:r>
        <w:rPr>
          <w:rFonts w:eastAsiaTheme="minorHAnsi" w:cs="MIonic"/>
          <w:sz w:val="20"/>
          <w:szCs w:val="20"/>
        </w:rPr>
        <w:t xml:space="preserve"> </w:t>
      </w:r>
      <w:r w:rsidRPr="00480E80">
        <w:rPr>
          <w:rFonts w:eastAsiaTheme="minorHAnsi" w:cs="MIonic"/>
          <w:sz w:val="20"/>
          <w:szCs w:val="20"/>
        </w:rPr>
        <w:t>or</w:t>
      </w:r>
    </w:p>
    <w:p w14:paraId="373B1654" w14:textId="77777777" w:rsidR="00480E80" w:rsidRPr="00480E80" w:rsidRDefault="00480E80" w:rsidP="00480E80">
      <w:pPr>
        <w:autoSpaceDE w:val="0"/>
        <w:autoSpaceDN w:val="0"/>
        <w:adjustRightInd w:val="0"/>
        <w:jc w:val="both"/>
        <w:rPr>
          <w:rFonts w:eastAsiaTheme="minorHAnsi" w:cs="MIonic"/>
          <w:sz w:val="20"/>
          <w:szCs w:val="20"/>
          <w:u w:val="single"/>
        </w:rPr>
      </w:pPr>
      <w:r w:rsidRPr="00480E80">
        <w:rPr>
          <w:rFonts w:eastAsiaTheme="minorHAnsi" w:cs="MIonic"/>
          <w:sz w:val="20"/>
          <w:szCs w:val="20"/>
        </w:rPr>
        <w:t xml:space="preserve">(3) </w:t>
      </w:r>
      <w:r w:rsidRPr="00480E80">
        <w:rPr>
          <w:rFonts w:eastAsiaTheme="minorHAnsi" w:cs="MIonic"/>
          <w:sz w:val="20"/>
          <w:szCs w:val="20"/>
          <w:u w:val="single"/>
        </w:rPr>
        <w:t>By a private motor carrier (including</w:t>
      </w:r>
      <w:r w:rsidRPr="00BA5782">
        <w:rPr>
          <w:rFonts w:eastAsiaTheme="minorHAnsi" w:cs="MIonic"/>
          <w:sz w:val="20"/>
          <w:szCs w:val="20"/>
          <w:u w:val="single"/>
        </w:rPr>
        <w:t xml:space="preserve"> </w:t>
      </w:r>
      <w:r w:rsidRPr="00480E80">
        <w:rPr>
          <w:rFonts w:eastAsiaTheme="minorHAnsi" w:cs="MIonic"/>
          <w:sz w:val="20"/>
          <w:szCs w:val="20"/>
          <w:u w:val="single"/>
        </w:rPr>
        <w:t>vehicles operated by a rail carrier)</w:t>
      </w:r>
      <w:r w:rsidRPr="00BA5782">
        <w:rPr>
          <w:rFonts w:eastAsiaTheme="minorHAnsi" w:cs="MIonic"/>
          <w:sz w:val="20"/>
          <w:szCs w:val="20"/>
          <w:u w:val="single"/>
        </w:rPr>
        <w:t xml:space="preserve"> </w:t>
      </w:r>
      <w:r w:rsidRPr="00480E80">
        <w:rPr>
          <w:rFonts w:eastAsiaTheme="minorHAnsi" w:cs="MIonic"/>
          <w:sz w:val="20"/>
          <w:szCs w:val="20"/>
          <w:u w:val="single"/>
        </w:rPr>
        <w:t>in direct support of a principal</w:t>
      </w:r>
    </w:p>
    <w:p w14:paraId="70D4789E" w14:textId="77777777" w:rsidR="00480E80" w:rsidRPr="00480E80" w:rsidRDefault="00480E80" w:rsidP="00480E80">
      <w:pPr>
        <w:autoSpaceDE w:val="0"/>
        <w:autoSpaceDN w:val="0"/>
        <w:adjustRightInd w:val="0"/>
        <w:jc w:val="both"/>
        <w:rPr>
          <w:rFonts w:eastAsiaTheme="minorHAnsi" w:cstheme="minorBidi"/>
          <w:sz w:val="20"/>
          <w:szCs w:val="20"/>
          <w:u w:val="single"/>
        </w:rPr>
      </w:pPr>
      <w:r w:rsidRPr="00480E80">
        <w:rPr>
          <w:rFonts w:eastAsiaTheme="minorHAnsi" w:cs="MIonic"/>
          <w:sz w:val="20"/>
          <w:szCs w:val="20"/>
          <w:u w:val="single"/>
        </w:rPr>
        <w:t>business that is other than transportation</w:t>
      </w:r>
      <w:r w:rsidRPr="00BA5782">
        <w:rPr>
          <w:rFonts w:eastAsiaTheme="minorHAnsi" w:cs="MIonic"/>
          <w:sz w:val="20"/>
          <w:szCs w:val="20"/>
          <w:u w:val="single"/>
        </w:rPr>
        <w:t xml:space="preserve"> </w:t>
      </w:r>
      <w:r w:rsidRPr="00480E80">
        <w:rPr>
          <w:rFonts w:eastAsiaTheme="minorHAnsi" w:cs="MIonic"/>
          <w:sz w:val="20"/>
          <w:szCs w:val="20"/>
          <w:u w:val="single"/>
        </w:rPr>
        <w:t>by motor vehicle.</w:t>
      </w:r>
    </w:p>
    <w:p w14:paraId="22243904" w14:textId="77777777" w:rsidR="00480E80" w:rsidRPr="00480E80" w:rsidRDefault="00480E80" w:rsidP="00480E80">
      <w:pPr>
        <w:numPr>
          <w:ilvl w:val="1"/>
          <w:numId w:val="0"/>
        </w:numPr>
        <w:tabs>
          <w:tab w:val="left" w:pos="1620"/>
        </w:tabs>
        <w:spacing w:before="240" w:after="160"/>
        <w:ind w:left="900" w:hanging="900"/>
        <w:contextualSpacing/>
        <w:rPr>
          <w:rFonts w:eastAsia="Calibri" w:cs="Arial"/>
          <w:b/>
          <w:sz w:val="20"/>
          <w:szCs w:val="20"/>
        </w:rPr>
      </w:pPr>
    </w:p>
    <w:p w14:paraId="62AC0C6B" w14:textId="77777777" w:rsidR="00480E80" w:rsidRDefault="00480E80" w:rsidP="00480E80">
      <w:pPr>
        <w:numPr>
          <w:ilvl w:val="1"/>
          <w:numId w:val="0"/>
        </w:numPr>
        <w:tabs>
          <w:tab w:val="left" w:pos="1620"/>
        </w:tabs>
        <w:spacing w:before="240" w:after="160"/>
        <w:ind w:left="900" w:hanging="900"/>
        <w:contextualSpacing/>
        <w:jc w:val="center"/>
        <w:rPr>
          <w:rFonts w:eastAsia="Calibri" w:cs="Arial"/>
          <w:b/>
          <w:szCs w:val="22"/>
          <w:u w:val="single"/>
        </w:rPr>
      </w:pPr>
      <w:r>
        <w:rPr>
          <w:noProof/>
        </w:rPr>
        <w:drawing>
          <wp:inline distT="0" distB="0" distL="0" distR="0" wp14:anchorId="47858AA8" wp14:editId="23D12D2B">
            <wp:extent cx="6276541" cy="3878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9027" cy="3898655"/>
                    </a:xfrm>
                    <a:prstGeom prst="rect">
                      <a:avLst/>
                    </a:prstGeom>
                  </pic:spPr>
                </pic:pic>
              </a:graphicData>
            </a:graphic>
          </wp:inline>
        </w:drawing>
      </w:r>
    </w:p>
    <w:p w14:paraId="7D654706" w14:textId="77777777" w:rsidR="00BA5782" w:rsidRDefault="00BA5782" w:rsidP="00480E80">
      <w:pPr>
        <w:numPr>
          <w:ilvl w:val="1"/>
          <w:numId w:val="0"/>
        </w:numPr>
        <w:tabs>
          <w:tab w:val="left" w:pos="1620"/>
        </w:tabs>
        <w:spacing w:before="240" w:after="160"/>
        <w:ind w:left="900" w:hanging="900"/>
        <w:contextualSpacing/>
        <w:jc w:val="center"/>
        <w:rPr>
          <w:rFonts w:eastAsia="Calibri" w:cs="Arial"/>
          <w:b/>
          <w:szCs w:val="22"/>
          <w:u w:val="single"/>
        </w:rPr>
      </w:pPr>
    </w:p>
    <w:p w14:paraId="3162AF6F" w14:textId="77777777" w:rsidR="00BA5782" w:rsidRDefault="00BA5782" w:rsidP="00BA5782">
      <w:pPr>
        <w:numPr>
          <w:ilvl w:val="1"/>
          <w:numId w:val="0"/>
        </w:numPr>
        <w:tabs>
          <w:tab w:val="left" w:pos="1620"/>
        </w:tabs>
        <w:spacing w:before="240" w:after="160"/>
        <w:ind w:left="900" w:hanging="900"/>
        <w:contextualSpacing/>
        <w:rPr>
          <w:rFonts w:eastAsia="Calibri" w:cs="Arial"/>
          <w:sz w:val="20"/>
          <w:szCs w:val="20"/>
        </w:rPr>
      </w:pPr>
    </w:p>
    <w:p w14:paraId="31F111B6" w14:textId="77777777" w:rsidR="00BA5782" w:rsidRDefault="00BA5782" w:rsidP="00BA5782">
      <w:pPr>
        <w:numPr>
          <w:ilvl w:val="1"/>
          <w:numId w:val="0"/>
        </w:numPr>
        <w:tabs>
          <w:tab w:val="left" w:pos="1620"/>
        </w:tabs>
        <w:spacing w:before="240" w:after="160"/>
        <w:ind w:left="900" w:hanging="900"/>
        <w:contextualSpacing/>
        <w:rPr>
          <w:rFonts w:eastAsia="Calibri" w:cs="Arial"/>
          <w:sz w:val="20"/>
          <w:szCs w:val="20"/>
        </w:rPr>
      </w:pPr>
    </w:p>
    <w:p w14:paraId="08414B89" w14:textId="77777777" w:rsidR="00BA5782" w:rsidRDefault="00BA5782" w:rsidP="00BA5782">
      <w:pPr>
        <w:numPr>
          <w:ilvl w:val="1"/>
          <w:numId w:val="0"/>
        </w:numPr>
        <w:tabs>
          <w:tab w:val="left" w:pos="1620"/>
        </w:tabs>
        <w:spacing w:before="240" w:after="160"/>
        <w:ind w:left="900" w:hanging="900"/>
        <w:contextualSpacing/>
        <w:rPr>
          <w:rFonts w:eastAsia="Calibri" w:cs="Arial"/>
          <w:sz w:val="20"/>
          <w:szCs w:val="20"/>
        </w:rPr>
      </w:pPr>
      <w:proofErr w:type="gramStart"/>
      <w:r>
        <w:rPr>
          <w:rFonts w:eastAsia="Calibri" w:cs="Arial"/>
          <w:sz w:val="20"/>
          <w:szCs w:val="20"/>
        </w:rPr>
        <w:t>So</w:t>
      </w:r>
      <w:proofErr w:type="gramEnd"/>
      <w:r>
        <w:rPr>
          <w:rFonts w:eastAsia="Calibri" w:cs="Arial"/>
          <w:sz w:val="20"/>
          <w:szCs w:val="20"/>
        </w:rPr>
        <w:t xml:space="preserve"> because the chemicals, refrigerants, gases</w:t>
      </w:r>
      <w:r w:rsidR="00966871">
        <w:rPr>
          <w:rFonts w:eastAsia="Calibri" w:cs="Arial"/>
          <w:sz w:val="20"/>
          <w:szCs w:val="20"/>
        </w:rPr>
        <w:t>,</w:t>
      </w:r>
      <w:r>
        <w:rPr>
          <w:rFonts w:eastAsia="Calibri" w:cs="Arial"/>
          <w:sz w:val="20"/>
          <w:szCs w:val="20"/>
        </w:rPr>
        <w:t xml:space="preserve"> etc</w:t>
      </w:r>
      <w:r w:rsidR="00966871">
        <w:rPr>
          <w:rFonts w:eastAsia="Calibri" w:cs="Arial"/>
          <w:sz w:val="20"/>
          <w:szCs w:val="20"/>
        </w:rPr>
        <w:t>.</w:t>
      </w:r>
      <w:r>
        <w:rPr>
          <w:rFonts w:eastAsia="Calibri" w:cs="Arial"/>
          <w:sz w:val="20"/>
          <w:szCs w:val="20"/>
        </w:rPr>
        <w:t xml:space="preserve"> qualify as materials of trade, we can transport them and</w:t>
      </w:r>
    </w:p>
    <w:p w14:paraId="4BFB8722" w14:textId="77777777" w:rsidR="00BA5782" w:rsidRDefault="00BA5782" w:rsidP="00BA5782">
      <w:pPr>
        <w:numPr>
          <w:ilvl w:val="1"/>
          <w:numId w:val="0"/>
        </w:numPr>
        <w:tabs>
          <w:tab w:val="left" w:pos="1620"/>
        </w:tabs>
        <w:spacing w:before="240" w:after="160"/>
        <w:ind w:left="900" w:hanging="900"/>
        <w:contextualSpacing/>
        <w:rPr>
          <w:rFonts w:ascii="Helvetica" w:hAnsi="Helvetica" w:cs="Helvetica"/>
          <w:b/>
          <w:bCs/>
          <w:color w:val="333333"/>
          <w:sz w:val="25"/>
          <w:szCs w:val="25"/>
          <w:lang w:val="en"/>
        </w:rPr>
      </w:pPr>
      <w:r>
        <w:rPr>
          <w:rFonts w:eastAsia="Calibri" w:cs="Arial"/>
          <w:sz w:val="20"/>
          <w:szCs w:val="20"/>
        </w:rPr>
        <w:t>are compliant if we meet these requirements:</w:t>
      </w:r>
    </w:p>
    <w:p w14:paraId="0B7BFE51" w14:textId="77777777" w:rsidR="00BA5782" w:rsidRDefault="00BA5782" w:rsidP="00BA5782">
      <w:pPr>
        <w:spacing w:before="150" w:after="150"/>
        <w:rPr>
          <w:rFonts w:ascii="Helvetica" w:hAnsi="Helvetica" w:cs="Helvetica"/>
          <w:b/>
          <w:bCs/>
          <w:color w:val="333333"/>
          <w:sz w:val="25"/>
          <w:szCs w:val="25"/>
          <w:lang w:val="en"/>
        </w:rPr>
      </w:pPr>
    </w:p>
    <w:p w14:paraId="2ED83089" w14:textId="77777777" w:rsidR="00BA5782" w:rsidRDefault="00BA5782" w:rsidP="00BA5782">
      <w:pPr>
        <w:spacing w:before="150" w:after="150"/>
        <w:rPr>
          <w:rFonts w:ascii="Helvetica" w:hAnsi="Helvetica" w:cs="Helvetica"/>
          <w:b/>
          <w:bCs/>
          <w:color w:val="333333"/>
          <w:sz w:val="25"/>
          <w:szCs w:val="25"/>
          <w:lang w:val="en"/>
        </w:rPr>
      </w:pPr>
    </w:p>
    <w:p w14:paraId="36CAB9B5" w14:textId="77777777" w:rsidR="00BA5782" w:rsidRDefault="00BA5782" w:rsidP="00BA5782">
      <w:pPr>
        <w:spacing w:before="150" w:after="150"/>
        <w:rPr>
          <w:rFonts w:ascii="Helvetica" w:hAnsi="Helvetica" w:cs="Helvetica"/>
          <w:b/>
          <w:bCs/>
          <w:color w:val="333333"/>
          <w:sz w:val="25"/>
          <w:szCs w:val="25"/>
          <w:lang w:val="en"/>
        </w:rPr>
      </w:pPr>
    </w:p>
    <w:p w14:paraId="1A43289A" w14:textId="77777777" w:rsidR="00BA5782" w:rsidRPr="00DE5D0C" w:rsidRDefault="00BA5782" w:rsidP="00BA5782">
      <w:pPr>
        <w:spacing w:before="150" w:after="150"/>
        <w:rPr>
          <w:rFonts w:ascii="Helvetica" w:hAnsi="Helvetica" w:cs="Helvetica"/>
          <w:b/>
          <w:bCs/>
          <w:sz w:val="25"/>
          <w:szCs w:val="25"/>
          <w:lang w:val="en"/>
        </w:rPr>
      </w:pPr>
      <w:r w:rsidRPr="00BA5782">
        <w:rPr>
          <w:rFonts w:ascii="Helvetica" w:hAnsi="Helvetica" w:cs="Helvetica"/>
          <w:b/>
          <w:bCs/>
          <w:color w:val="333333"/>
          <w:sz w:val="25"/>
          <w:szCs w:val="25"/>
          <w:lang w:val="en"/>
        </w:rPr>
        <w:lastRenderedPageBreak/>
        <w:t xml:space="preserve">§ 173.6 Materials of </w:t>
      </w:r>
      <w:r w:rsidRPr="00BA5782">
        <w:rPr>
          <w:rFonts w:ascii="Helvetica" w:hAnsi="Helvetica" w:cs="Helvetica"/>
          <w:b/>
          <w:bCs/>
          <w:sz w:val="25"/>
          <w:szCs w:val="25"/>
          <w:lang w:val="en"/>
        </w:rPr>
        <w:t xml:space="preserve">trade </w:t>
      </w:r>
      <w:hyperlink r:id="rId9" w:tooltip="exceptions" w:history="1">
        <w:r w:rsidRPr="00BA5782">
          <w:rPr>
            <w:rFonts w:ascii="Helvetica" w:hAnsi="Helvetica" w:cs="Helvetica"/>
            <w:b/>
            <w:bCs/>
            <w:sz w:val="25"/>
            <w:szCs w:val="25"/>
            <w:lang w:val="en"/>
          </w:rPr>
          <w:t>exceptions</w:t>
        </w:r>
      </w:hyperlink>
      <w:r w:rsidRPr="00BA5782">
        <w:rPr>
          <w:rFonts w:ascii="Helvetica" w:hAnsi="Helvetica" w:cs="Helvetica"/>
          <w:b/>
          <w:bCs/>
          <w:sz w:val="25"/>
          <w:szCs w:val="25"/>
          <w:lang w:val="en"/>
        </w:rPr>
        <w:t>.</w:t>
      </w:r>
    </w:p>
    <w:p w14:paraId="1D79593D" w14:textId="77777777" w:rsidR="00BA5782" w:rsidRPr="00DE5D0C" w:rsidRDefault="00BA5782" w:rsidP="00BA5782">
      <w:pPr>
        <w:spacing w:before="150" w:after="150"/>
        <w:rPr>
          <w:rFonts w:ascii="Helvetica" w:hAnsi="Helvetica" w:cs="Helvetica"/>
          <w:sz w:val="21"/>
          <w:szCs w:val="21"/>
          <w:lang w:val="en"/>
        </w:rPr>
      </w:pPr>
      <w:r w:rsidRPr="00DE5D0C">
        <w:rPr>
          <w:rFonts w:ascii="Helvetica" w:hAnsi="Helvetica" w:cs="Helvetica"/>
          <w:b/>
          <w:bCs/>
          <w:sz w:val="21"/>
          <w:szCs w:val="21"/>
          <w:lang w:val="en"/>
        </w:rPr>
        <w:t>(a)</w:t>
      </w:r>
      <w:r w:rsidRPr="00DE5D0C">
        <w:rPr>
          <w:rFonts w:ascii="Helvetica" w:hAnsi="Helvetica" w:cs="Helvetica"/>
          <w:i/>
          <w:iCs/>
          <w:sz w:val="21"/>
          <w:szCs w:val="21"/>
          <w:lang w:val="en"/>
        </w:rPr>
        <w:t>Materials and amounts.</w:t>
      </w:r>
      <w:r w:rsidRPr="00DE5D0C">
        <w:rPr>
          <w:rFonts w:ascii="Helvetica" w:hAnsi="Helvetica" w:cs="Helvetica"/>
          <w:sz w:val="21"/>
          <w:szCs w:val="21"/>
          <w:lang w:val="en"/>
        </w:rPr>
        <w:t xml:space="preserve"> A </w:t>
      </w:r>
      <w:hyperlink r:id="rId10" w:tooltip="material of trade" w:history="1">
        <w:r w:rsidRPr="00DE5D0C">
          <w:rPr>
            <w:rFonts w:ascii="Helvetica" w:hAnsi="Helvetica" w:cs="Helvetica"/>
            <w:sz w:val="21"/>
            <w:szCs w:val="21"/>
            <w:lang w:val="en"/>
          </w:rPr>
          <w:t>material of trade</w:t>
        </w:r>
      </w:hyperlink>
      <w:r w:rsidRPr="00DE5D0C">
        <w:rPr>
          <w:rFonts w:ascii="Helvetica" w:hAnsi="Helvetica" w:cs="Helvetica"/>
          <w:sz w:val="21"/>
          <w:szCs w:val="21"/>
          <w:lang w:val="en"/>
        </w:rPr>
        <w:t xml:space="preserve"> is limited to the following: </w:t>
      </w:r>
    </w:p>
    <w:p w14:paraId="536142F7" w14:textId="77777777" w:rsidR="00BA5782" w:rsidRPr="00BA5782" w:rsidRDefault="00BA5782" w:rsidP="00BA5782">
      <w:pPr>
        <w:spacing w:before="150" w:after="150"/>
        <w:rPr>
          <w:rFonts w:ascii="Helvetica" w:hAnsi="Helvetica" w:cs="Helvetica"/>
          <w:sz w:val="21"/>
          <w:szCs w:val="21"/>
          <w:lang w:val="en"/>
        </w:rPr>
      </w:pPr>
      <w:r w:rsidRPr="00BA5782">
        <w:rPr>
          <w:rFonts w:ascii="Helvetica" w:hAnsi="Helvetica" w:cs="Helvetica"/>
          <w:b/>
          <w:bCs/>
          <w:sz w:val="21"/>
          <w:szCs w:val="21"/>
          <w:lang w:val="en"/>
        </w:rPr>
        <w:t>(1)</w:t>
      </w:r>
      <w:r w:rsidRPr="00BA5782">
        <w:rPr>
          <w:rFonts w:ascii="Helvetica" w:hAnsi="Helvetica" w:cs="Helvetica"/>
          <w:sz w:val="21"/>
          <w:szCs w:val="21"/>
          <w:lang w:val="en"/>
        </w:rPr>
        <w:t xml:space="preserve"> A </w:t>
      </w:r>
      <w:hyperlink r:id="rId11" w:tooltip="Class" w:history="1">
        <w:r w:rsidRPr="00BA5782">
          <w:rPr>
            <w:rFonts w:ascii="Helvetica" w:hAnsi="Helvetica" w:cs="Helvetica"/>
            <w:sz w:val="21"/>
            <w:szCs w:val="21"/>
            <w:lang w:val="en"/>
          </w:rPr>
          <w:t>Class</w:t>
        </w:r>
      </w:hyperlink>
      <w:r w:rsidRPr="00BA5782">
        <w:rPr>
          <w:rFonts w:ascii="Helvetica" w:hAnsi="Helvetica" w:cs="Helvetica"/>
          <w:sz w:val="21"/>
          <w:szCs w:val="21"/>
          <w:lang w:val="en"/>
        </w:rPr>
        <w:t xml:space="preserve"> 3, 8, 9, </w:t>
      </w:r>
      <w:hyperlink r:id="rId12" w:tooltip="Division" w:history="1">
        <w:r w:rsidRPr="00BA5782">
          <w:rPr>
            <w:rFonts w:ascii="Helvetica" w:hAnsi="Helvetica" w:cs="Helvetica"/>
            <w:sz w:val="21"/>
            <w:szCs w:val="21"/>
            <w:lang w:val="en"/>
          </w:rPr>
          <w:t>Division</w:t>
        </w:r>
      </w:hyperlink>
      <w:r w:rsidRPr="00BA5782">
        <w:rPr>
          <w:rFonts w:ascii="Helvetica" w:hAnsi="Helvetica" w:cs="Helvetica"/>
          <w:sz w:val="21"/>
          <w:szCs w:val="21"/>
          <w:lang w:val="en"/>
        </w:rPr>
        <w:t xml:space="preserve"> 4.1, 5.1, 5.2, 6.1, or </w:t>
      </w:r>
      <w:hyperlink r:id="rId13" w:tooltip="ORM" w:history="1">
        <w:r w:rsidRPr="00BA5782">
          <w:rPr>
            <w:rFonts w:ascii="Helvetica" w:hAnsi="Helvetica" w:cs="Helvetica"/>
            <w:sz w:val="21"/>
            <w:szCs w:val="21"/>
            <w:lang w:val="en"/>
          </w:rPr>
          <w:t>ORM</w:t>
        </w:r>
      </w:hyperlink>
      <w:r w:rsidRPr="00BA5782">
        <w:rPr>
          <w:rFonts w:ascii="Helvetica" w:hAnsi="Helvetica" w:cs="Helvetica"/>
          <w:sz w:val="21"/>
          <w:szCs w:val="21"/>
          <w:lang w:val="en"/>
        </w:rPr>
        <w:t xml:space="preserve">-D material contained in a </w:t>
      </w:r>
      <w:hyperlink r:id="rId14" w:tooltip="packaging" w:history="1">
        <w:r w:rsidRPr="00BA5782">
          <w:rPr>
            <w:rFonts w:ascii="Helvetica" w:hAnsi="Helvetica" w:cs="Helvetica"/>
            <w:sz w:val="21"/>
            <w:szCs w:val="21"/>
            <w:lang w:val="en"/>
          </w:rPr>
          <w:t>packaging</w:t>
        </w:r>
      </w:hyperlink>
      <w:r w:rsidRPr="00BA5782">
        <w:rPr>
          <w:rFonts w:ascii="Helvetica" w:hAnsi="Helvetica" w:cs="Helvetica"/>
          <w:sz w:val="21"/>
          <w:szCs w:val="21"/>
          <w:lang w:val="en"/>
        </w:rPr>
        <w:t xml:space="preserve"> having a gross mass or capacity not over - </w:t>
      </w:r>
    </w:p>
    <w:p w14:paraId="5552D459" w14:textId="77777777" w:rsidR="00BA5782" w:rsidRPr="00BA5782" w:rsidRDefault="00BA5782" w:rsidP="00BA5782">
      <w:pPr>
        <w:spacing w:after="150"/>
        <w:ind w:left="480"/>
        <w:rPr>
          <w:rFonts w:ascii="Helvetica" w:hAnsi="Helvetica" w:cs="Helvetica"/>
          <w:sz w:val="21"/>
          <w:szCs w:val="21"/>
          <w:lang w:val="en"/>
        </w:rPr>
      </w:pPr>
      <w:r w:rsidRPr="00BA5782">
        <w:rPr>
          <w:rFonts w:ascii="Helvetica" w:hAnsi="Helvetica" w:cs="Helvetica"/>
          <w:b/>
          <w:bCs/>
          <w:sz w:val="21"/>
          <w:szCs w:val="21"/>
          <w:lang w:val="en"/>
        </w:rPr>
        <w:t>(i)</w:t>
      </w:r>
      <w:r w:rsidRPr="00BA5782">
        <w:rPr>
          <w:rFonts w:ascii="Helvetica" w:hAnsi="Helvetica" w:cs="Helvetica"/>
          <w:sz w:val="21"/>
          <w:szCs w:val="21"/>
          <w:lang w:val="en"/>
        </w:rPr>
        <w:t xml:space="preserve"> 0.5 kg (1 pound) or 0.5 L (1 pint) for a </w:t>
      </w:r>
      <w:hyperlink r:id="rId15" w:tooltip="Packing Group" w:history="1">
        <w:r w:rsidRPr="00BA5782">
          <w:rPr>
            <w:rFonts w:ascii="Helvetica" w:hAnsi="Helvetica" w:cs="Helvetica"/>
            <w:sz w:val="21"/>
            <w:szCs w:val="21"/>
            <w:lang w:val="en"/>
          </w:rPr>
          <w:t>Packing Group</w:t>
        </w:r>
      </w:hyperlink>
      <w:r w:rsidRPr="00BA5782">
        <w:rPr>
          <w:rFonts w:ascii="Helvetica" w:hAnsi="Helvetica" w:cs="Helvetica"/>
          <w:sz w:val="21"/>
          <w:szCs w:val="21"/>
          <w:lang w:val="en"/>
        </w:rPr>
        <w:t xml:space="preserve"> I material; </w:t>
      </w:r>
    </w:p>
    <w:p w14:paraId="65A93345" w14:textId="77777777" w:rsidR="00BA5782" w:rsidRPr="00BA5782" w:rsidRDefault="00BA5782" w:rsidP="00BA5782">
      <w:pPr>
        <w:spacing w:after="150"/>
        <w:ind w:left="480"/>
        <w:rPr>
          <w:rFonts w:ascii="Helvetica" w:hAnsi="Helvetica" w:cs="Helvetica"/>
          <w:sz w:val="21"/>
          <w:szCs w:val="21"/>
          <w:lang w:val="en"/>
        </w:rPr>
      </w:pPr>
      <w:r w:rsidRPr="00BA5782">
        <w:rPr>
          <w:rFonts w:ascii="Helvetica" w:hAnsi="Helvetica" w:cs="Helvetica"/>
          <w:b/>
          <w:bCs/>
          <w:sz w:val="21"/>
          <w:szCs w:val="21"/>
          <w:lang w:val="en"/>
        </w:rPr>
        <w:t>(ii)</w:t>
      </w:r>
      <w:r w:rsidRPr="00BA5782">
        <w:rPr>
          <w:rFonts w:ascii="Helvetica" w:hAnsi="Helvetica" w:cs="Helvetica"/>
          <w:sz w:val="21"/>
          <w:szCs w:val="21"/>
          <w:lang w:val="en"/>
        </w:rPr>
        <w:t xml:space="preserve"> 30 kg (66 pounds) or 30 L (8 gallons) for a </w:t>
      </w:r>
      <w:hyperlink r:id="rId16" w:tooltip="Packing Group" w:history="1">
        <w:r w:rsidRPr="00BA5782">
          <w:rPr>
            <w:rFonts w:ascii="Helvetica" w:hAnsi="Helvetica" w:cs="Helvetica"/>
            <w:sz w:val="21"/>
            <w:szCs w:val="21"/>
            <w:lang w:val="en"/>
          </w:rPr>
          <w:t>Packing Group</w:t>
        </w:r>
      </w:hyperlink>
      <w:r w:rsidRPr="00BA5782">
        <w:rPr>
          <w:rFonts w:ascii="Helvetica" w:hAnsi="Helvetica" w:cs="Helvetica"/>
          <w:sz w:val="21"/>
          <w:szCs w:val="21"/>
          <w:lang w:val="en"/>
        </w:rPr>
        <w:t xml:space="preserve"> II, </w:t>
      </w:r>
      <w:hyperlink r:id="rId17" w:tooltip="Packing Group" w:history="1">
        <w:r w:rsidRPr="00BA5782">
          <w:rPr>
            <w:rFonts w:ascii="Helvetica" w:hAnsi="Helvetica" w:cs="Helvetica"/>
            <w:sz w:val="21"/>
            <w:szCs w:val="21"/>
            <w:lang w:val="en"/>
          </w:rPr>
          <w:t>Packing Group</w:t>
        </w:r>
      </w:hyperlink>
      <w:r w:rsidRPr="00BA5782">
        <w:rPr>
          <w:rFonts w:ascii="Helvetica" w:hAnsi="Helvetica" w:cs="Helvetica"/>
          <w:sz w:val="21"/>
          <w:szCs w:val="21"/>
          <w:lang w:val="en"/>
        </w:rPr>
        <w:t xml:space="preserve"> III, or </w:t>
      </w:r>
      <w:hyperlink r:id="rId18" w:tooltip="ORM" w:history="1">
        <w:r w:rsidRPr="00BA5782">
          <w:rPr>
            <w:rFonts w:ascii="Helvetica" w:hAnsi="Helvetica" w:cs="Helvetica"/>
            <w:sz w:val="21"/>
            <w:szCs w:val="21"/>
            <w:lang w:val="en"/>
          </w:rPr>
          <w:t>ORM</w:t>
        </w:r>
      </w:hyperlink>
      <w:r w:rsidRPr="00BA5782">
        <w:rPr>
          <w:rFonts w:ascii="Helvetica" w:hAnsi="Helvetica" w:cs="Helvetica"/>
          <w:sz w:val="21"/>
          <w:szCs w:val="21"/>
          <w:lang w:val="en"/>
        </w:rPr>
        <w:t xml:space="preserve">-D material; </w:t>
      </w:r>
    </w:p>
    <w:p w14:paraId="2720CF36" w14:textId="77777777" w:rsidR="00BA5782" w:rsidRPr="00DE5D0C" w:rsidRDefault="00BA5782" w:rsidP="00BA5782">
      <w:pPr>
        <w:spacing w:after="150"/>
        <w:ind w:left="480"/>
        <w:rPr>
          <w:rFonts w:ascii="Helvetica" w:hAnsi="Helvetica" w:cs="Helvetica"/>
          <w:sz w:val="21"/>
          <w:szCs w:val="21"/>
          <w:lang w:val="en"/>
        </w:rPr>
      </w:pPr>
      <w:r w:rsidRPr="00BA5782">
        <w:rPr>
          <w:rFonts w:ascii="Helvetica" w:hAnsi="Helvetica" w:cs="Helvetica"/>
          <w:b/>
          <w:bCs/>
          <w:sz w:val="21"/>
          <w:szCs w:val="21"/>
          <w:lang w:val="en"/>
        </w:rPr>
        <w:t>(iii)</w:t>
      </w:r>
      <w:r w:rsidRPr="00BA5782">
        <w:rPr>
          <w:rFonts w:ascii="Helvetica" w:hAnsi="Helvetica" w:cs="Helvetica"/>
          <w:sz w:val="21"/>
          <w:szCs w:val="21"/>
          <w:lang w:val="en"/>
        </w:rPr>
        <w:t xml:space="preserve"> 1500 L (400 gallons) for a diluted </w:t>
      </w:r>
      <w:hyperlink r:id="rId19" w:tooltip="mixture" w:history="1">
        <w:r w:rsidRPr="00BA5782">
          <w:rPr>
            <w:rFonts w:ascii="Helvetica" w:hAnsi="Helvetica" w:cs="Helvetica"/>
            <w:sz w:val="21"/>
            <w:szCs w:val="21"/>
            <w:lang w:val="en"/>
          </w:rPr>
          <w:t>mixture</w:t>
        </w:r>
      </w:hyperlink>
      <w:r w:rsidRPr="00BA5782">
        <w:rPr>
          <w:rFonts w:ascii="Helvetica" w:hAnsi="Helvetica" w:cs="Helvetica"/>
          <w:sz w:val="21"/>
          <w:szCs w:val="21"/>
          <w:lang w:val="en"/>
        </w:rPr>
        <w:t xml:space="preserve">, not to exceed 2 percent concentration, of a </w:t>
      </w:r>
      <w:hyperlink r:id="rId20" w:tooltip="Class" w:history="1">
        <w:r w:rsidRPr="00BA5782">
          <w:rPr>
            <w:rFonts w:ascii="Helvetica" w:hAnsi="Helvetica" w:cs="Helvetica"/>
            <w:sz w:val="21"/>
            <w:szCs w:val="21"/>
            <w:lang w:val="en"/>
          </w:rPr>
          <w:t>Class</w:t>
        </w:r>
      </w:hyperlink>
      <w:r w:rsidRPr="00BA5782">
        <w:rPr>
          <w:rFonts w:ascii="Helvetica" w:hAnsi="Helvetica" w:cs="Helvetica"/>
          <w:sz w:val="21"/>
          <w:szCs w:val="21"/>
          <w:lang w:val="en"/>
        </w:rPr>
        <w:t xml:space="preserve"> 9 material. </w:t>
      </w:r>
    </w:p>
    <w:p w14:paraId="30BA08BC" w14:textId="77777777" w:rsidR="00BA5782" w:rsidRPr="00C470BD" w:rsidRDefault="00BA5782" w:rsidP="00BA5782">
      <w:pPr>
        <w:spacing w:after="150"/>
        <w:jc w:val="both"/>
        <w:rPr>
          <w:rFonts w:ascii="Helvetica" w:hAnsi="Helvetica" w:cs="Helvetica"/>
          <w:sz w:val="21"/>
          <w:szCs w:val="21"/>
          <w:lang w:val="en"/>
        </w:rPr>
      </w:pPr>
      <w:r w:rsidRPr="00BA5782">
        <w:rPr>
          <w:rFonts w:ascii="Helvetica" w:hAnsi="Helvetica" w:cs="Helvetica"/>
          <w:b/>
          <w:bCs/>
          <w:sz w:val="21"/>
          <w:szCs w:val="21"/>
          <w:lang w:val="en"/>
        </w:rPr>
        <w:t>(2)</w:t>
      </w:r>
      <w:r w:rsidRPr="00BA5782">
        <w:rPr>
          <w:rFonts w:ascii="Helvetica" w:hAnsi="Helvetica" w:cs="Helvetica"/>
          <w:sz w:val="21"/>
          <w:szCs w:val="21"/>
          <w:lang w:val="en"/>
        </w:rPr>
        <w:t xml:space="preserve"> A </w:t>
      </w:r>
      <w:hyperlink r:id="rId21" w:tooltip="Division" w:history="1">
        <w:r w:rsidRPr="00BA5782">
          <w:rPr>
            <w:rFonts w:ascii="Helvetica" w:hAnsi="Helvetica" w:cs="Helvetica"/>
            <w:sz w:val="21"/>
            <w:szCs w:val="21"/>
            <w:lang w:val="en"/>
          </w:rPr>
          <w:t>Division</w:t>
        </w:r>
      </w:hyperlink>
      <w:r w:rsidRPr="00BA5782">
        <w:rPr>
          <w:rFonts w:ascii="Helvetica" w:hAnsi="Helvetica" w:cs="Helvetica"/>
          <w:sz w:val="21"/>
          <w:szCs w:val="21"/>
          <w:lang w:val="en"/>
        </w:rPr>
        <w:t xml:space="preserve"> 2.1 or 2.2 material in a </w:t>
      </w:r>
      <w:hyperlink r:id="rId22" w:tooltip="cylinder" w:history="1">
        <w:r w:rsidRPr="00BA5782">
          <w:rPr>
            <w:rFonts w:ascii="Helvetica" w:hAnsi="Helvetica" w:cs="Helvetica"/>
            <w:sz w:val="21"/>
            <w:szCs w:val="21"/>
            <w:lang w:val="en"/>
          </w:rPr>
          <w:t>cylinder</w:t>
        </w:r>
      </w:hyperlink>
      <w:r w:rsidRPr="00BA5782">
        <w:rPr>
          <w:rFonts w:ascii="Helvetica" w:hAnsi="Helvetica" w:cs="Helvetica"/>
          <w:sz w:val="21"/>
          <w:szCs w:val="21"/>
          <w:lang w:val="en"/>
        </w:rPr>
        <w:t xml:space="preserve"> with a gross weight not over 100 kg (220 pounds), in a Dewar flask meeting the requirements of </w:t>
      </w:r>
      <w:hyperlink r:id="rId23" w:tooltip="§ 173.320" w:history="1">
        <w:r w:rsidRPr="00BA5782">
          <w:rPr>
            <w:rFonts w:ascii="Helvetica" w:hAnsi="Helvetica" w:cs="Helvetica"/>
            <w:sz w:val="21"/>
            <w:szCs w:val="21"/>
            <w:lang w:val="en"/>
          </w:rPr>
          <w:t>§ 173.320</w:t>
        </w:r>
      </w:hyperlink>
      <w:r w:rsidRPr="00BA5782">
        <w:rPr>
          <w:rFonts w:ascii="Helvetica" w:hAnsi="Helvetica" w:cs="Helvetica"/>
          <w:sz w:val="21"/>
          <w:szCs w:val="21"/>
          <w:lang w:val="en"/>
        </w:rPr>
        <w:t xml:space="preserve">, or a permanently mounted tank manufactured to the ASME Code of not more than 70 gallon water capacity for a non-liquefied </w:t>
      </w:r>
      <w:hyperlink r:id="rId24" w:tooltip="Division" w:history="1">
        <w:r w:rsidRPr="00BA5782">
          <w:rPr>
            <w:rFonts w:ascii="Helvetica" w:hAnsi="Helvetica" w:cs="Helvetica"/>
            <w:sz w:val="21"/>
            <w:szCs w:val="21"/>
            <w:lang w:val="en"/>
          </w:rPr>
          <w:t>Division</w:t>
        </w:r>
      </w:hyperlink>
      <w:r w:rsidRPr="00BA5782">
        <w:rPr>
          <w:rFonts w:ascii="Helvetica" w:hAnsi="Helvetica" w:cs="Helvetica"/>
          <w:sz w:val="21"/>
          <w:szCs w:val="21"/>
          <w:lang w:val="en"/>
        </w:rPr>
        <w:t xml:space="preserve"> 2.2 material with no </w:t>
      </w:r>
      <w:hyperlink r:id="rId25" w:tooltip="subsidiary hazard" w:history="1">
        <w:r w:rsidRPr="00BA5782">
          <w:rPr>
            <w:rFonts w:ascii="Helvetica" w:hAnsi="Helvetica" w:cs="Helvetica"/>
            <w:sz w:val="21"/>
            <w:szCs w:val="21"/>
            <w:lang w:val="en"/>
          </w:rPr>
          <w:t>subsidiary hazard</w:t>
        </w:r>
      </w:hyperlink>
      <w:r w:rsidRPr="00BA5782">
        <w:rPr>
          <w:rFonts w:ascii="Helvetica" w:hAnsi="Helvetica" w:cs="Helvetica"/>
          <w:sz w:val="21"/>
          <w:szCs w:val="21"/>
          <w:lang w:val="en"/>
        </w:rPr>
        <w:t xml:space="preserve">. </w:t>
      </w:r>
    </w:p>
    <w:p w14:paraId="6BEDDE06" w14:textId="77777777" w:rsidR="00DE5D0C" w:rsidRPr="00C470BD" w:rsidRDefault="00DE5D0C" w:rsidP="00DE5D0C">
      <w:pPr>
        <w:spacing w:before="150" w:after="150"/>
        <w:rPr>
          <w:rFonts w:ascii="Helvetica" w:hAnsi="Helvetica" w:cs="Helvetica"/>
          <w:sz w:val="21"/>
          <w:szCs w:val="21"/>
          <w:lang w:val="en"/>
        </w:rPr>
      </w:pPr>
      <w:r w:rsidRPr="00DE5D0C">
        <w:rPr>
          <w:rFonts w:ascii="Helvetica" w:hAnsi="Helvetica" w:cs="Helvetica"/>
          <w:b/>
          <w:bCs/>
          <w:sz w:val="21"/>
          <w:szCs w:val="21"/>
          <w:lang w:val="en"/>
        </w:rPr>
        <w:t>(c)</w:t>
      </w:r>
      <w:r w:rsidRPr="00DE5D0C">
        <w:rPr>
          <w:rFonts w:ascii="Helvetica" w:hAnsi="Helvetica" w:cs="Helvetica"/>
          <w:i/>
          <w:iCs/>
          <w:sz w:val="21"/>
          <w:szCs w:val="21"/>
          <w:lang w:val="en"/>
        </w:rPr>
        <w:t>Hazard communication.</w:t>
      </w:r>
      <w:r w:rsidRPr="00DE5D0C">
        <w:rPr>
          <w:rFonts w:ascii="Helvetica" w:hAnsi="Helvetica" w:cs="Helvetica"/>
          <w:sz w:val="21"/>
          <w:szCs w:val="21"/>
          <w:lang w:val="en"/>
        </w:rPr>
        <w:t xml:space="preserve"> </w:t>
      </w:r>
    </w:p>
    <w:p w14:paraId="1F6B8232" w14:textId="77777777" w:rsidR="00DE5D0C" w:rsidRPr="00DE5D0C" w:rsidRDefault="00DE5D0C" w:rsidP="00DE5D0C">
      <w:pPr>
        <w:spacing w:before="150" w:after="150"/>
        <w:rPr>
          <w:rFonts w:ascii="Helvetica" w:hAnsi="Helvetica" w:cs="Helvetica"/>
          <w:sz w:val="21"/>
          <w:szCs w:val="21"/>
          <w:lang w:val="en"/>
        </w:rPr>
      </w:pPr>
      <w:r w:rsidRPr="00DE5D0C">
        <w:rPr>
          <w:rFonts w:ascii="Helvetica" w:hAnsi="Helvetica" w:cs="Helvetica"/>
          <w:b/>
          <w:bCs/>
          <w:sz w:val="21"/>
          <w:szCs w:val="21"/>
          <w:lang w:val="en"/>
        </w:rPr>
        <w:t>(d)</w:t>
      </w:r>
      <w:r w:rsidRPr="00DE5D0C">
        <w:rPr>
          <w:rFonts w:ascii="Helvetica" w:hAnsi="Helvetica" w:cs="Helvetica"/>
          <w:i/>
          <w:iCs/>
          <w:sz w:val="21"/>
          <w:szCs w:val="21"/>
          <w:lang w:val="en"/>
        </w:rPr>
        <w:t>Aggregate gross weight.</w:t>
      </w:r>
      <w:r w:rsidRPr="00DE5D0C">
        <w:rPr>
          <w:rFonts w:ascii="Helvetica" w:hAnsi="Helvetica" w:cs="Helvetica"/>
          <w:sz w:val="21"/>
          <w:szCs w:val="21"/>
          <w:lang w:val="en"/>
        </w:rPr>
        <w:t xml:space="preserve"> Except for a </w:t>
      </w:r>
      <w:hyperlink r:id="rId26" w:tooltip="material of trade" w:history="1">
        <w:r w:rsidRPr="00DE5D0C">
          <w:rPr>
            <w:rFonts w:ascii="Helvetica" w:hAnsi="Helvetica" w:cs="Helvetica"/>
            <w:sz w:val="21"/>
            <w:szCs w:val="21"/>
            <w:lang w:val="en"/>
          </w:rPr>
          <w:t>material of trade</w:t>
        </w:r>
      </w:hyperlink>
      <w:r w:rsidRPr="00DE5D0C">
        <w:rPr>
          <w:rFonts w:ascii="Helvetica" w:hAnsi="Helvetica" w:cs="Helvetica"/>
          <w:sz w:val="21"/>
          <w:szCs w:val="21"/>
          <w:lang w:val="en"/>
        </w:rPr>
        <w:t xml:space="preserve"> authorized by </w:t>
      </w:r>
      <w:hyperlink r:id="rId27" w:anchor="a_1_iii" w:tooltip="paragraph (a)(1)(iii)" w:history="1">
        <w:r w:rsidRPr="00DE5D0C">
          <w:rPr>
            <w:rFonts w:ascii="Helvetica" w:hAnsi="Helvetica" w:cs="Helvetica"/>
            <w:sz w:val="21"/>
            <w:szCs w:val="21"/>
            <w:lang w:val="en"/>
          </w:rPr>
          <w:t>paragraph (a)(1)(iii)</w:t>
        </w:r>
      </w:hyperlink>
      <w:r w:rsidRPr="00DE5D0C">
        <w:rPr>
          <w:rFonts w:ascii="Helvetica" w:hAnsi="Helvetica" w:cs="Helvetica"/>
          <w:sz w:val="21"/>
          <w:szCs w:val="21"/>
          <w:lang w:val="en"/>
        </w:rPr>
        <w:t xml:space="preserve"> of this section, the aggregate gross weight of all materials of trade on a </w:t>
      </w:r>
      <w:hyperlink r:id="rId28" w:tooltip="motor vehicle" w:history="1">
        <w:r w:rsidRPr="00DE5D0C">
          <w:rPr>
            <w:rFonts w:ascii="Helvetica" w:hAnsi="Helvetica" w:cs="Helvetica"/>
            <w:sz w:val="21"/>
            <w:szCs w:val="21"/>
            <w:lang w:val="en"/>
          </w:rPr>
          <w:t>motor vehicle</w:t>
        </w:r>
      </w:hyperlink>
      <w:r w:rsidRPr="00DE5D0C">
        <w:rPr>
          <w:rFonts w:ascii="Helvetica" w:hAnsi="Helvetica" w:cs="Helvetica"/>
          <w:sz w:val="21"/>
          <w:szCs w:val="21"/>
          <w:lang w:val="en"/>
        </w:rPr>
        <w:t xml:space="preserve"> may not exceed 200 kg (440 pounds). </w:t>
      </w:r>
    </w:p>
    <w:p w14:paraId="7A6E6EEF" w14:textId="77777777" w:rsidR="009F2EAA" w:rsidRDefault="009F2EAA" w:rsidP="00C470BD">
      <w:pPr>
        <w:numPr>
          <w:ilvl w:val="1"/>
          <w:numId w:val="0"/>
        </w:numPr>
        <w:tabs>
          <w:tab w:val="left" w:pos="1620"/>
        </w:tabs>
        <w:spacing w:before="240" w:after="160"/>
        <w:ind w:left="900" w:hanging="900"/>
        <w:contextualSpacing/>
        <w:jc w:val="center"/>
        <w:rPr>
          <w:rFonts w:eastAsia="Calibri" w:cs="Arial"/>
          <w:b/>
          <w:szCs w:val="20"/>
          <w:u w:val="single"/>
        </w:rPr>
      </w:pPr>
      <w:r w:rsidRPr="009F2EAA">
        <w:rPr>
          <w:rFonts w:eastAsia="Calibri" w:cs="Arial"/>
          <w:b/>
          <w:szCs w:val="20"/>
          <w:u w:val="single"/>
        </w:rPr>
        <w:t xml:space="preserve">Safe Handling </w:t>
      </w:r>
      <w:r w:rsidR="00F62B02">
        <w:rPr>
          <w:rFonts w:eastAsia="Calibri" w:cs="Arial"/>
          <w:b/>
          <w:szCs w:val="20"/>
          <w:u w:val="single"/>
        </w:rPr>
        <w:t xml:space="preserve">and Usage </w:t>
      </w:r>
      <w:r w:rsidRPr="009F2EAA">
        <w:rPr>
          <w:rFonts w:eastAsia="Calibri" w:cs="Arial"/>
          <w:b/>
          <w:szCs w:val="20"/>
          <w:u w:val="single"/>
        </w:rPr>
        <w:t>Guidelines</w:t>
      </w:r>
    </w:p>
    <w:p w14:paraId="79A2BE8E" w14:textId="77777777" w:rsidR="00C470BD" w:rsidRPr="009F2EAA" w:rsidRDefault="00C470BD" w:rsidP="00C470BD">
      <w:pPr>
        <w:numPr>
          <w:ilvl w:val="1"/>
          <w:numId w:val="0"/>
        </w:numPr>
        <w:tabs>
          <w:tab w:val="left" w:pos="1620"/>
        </w:tabs>
        <w:spacing w:before="240" w:after="160"/>
        <w:ind w:left="900" w:hanging="900"/>
        <w:contextualSpacing/>
        <w:jc w:val="center"/>
        <w:rPr>
          <w:rFonts w:eastAsia="Calibri" w:cs="Arial"/>
          <w:b/>
          <w:szCs w:val="20"/>
          <w:u w:val="single"/>
        </w:rPr>
      </w:pPr>
    </w:p>
    <w:p w14:paraId="737557FA" w14:textId="77777777" w:rsidR="009F2EAA" w:rsidRDefault="00C470BD" w:rsidP="009F2EAA">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F2EAA" w:rsidRPr="009F2EAA">
        <w:rPr>
          <w:rFonts w:eastAsia="Calibri" w:cs="Arial"/>
          <w:sz w:val="20"/>
          <w:szCs w:val="20"/>
        </w:rPr>
        <w:t>Serious accidents can result from the misuse, abuse, or mishandling of compressed gas cylinders. Employees assigned to the handling of cylinders under pressure should follow general safe handling guidelines:</w:t>
      </w:r>
    </w:p>
    <w:p w14:paraId="77BCFE8A" w14:textId="77777777" w:rsidR="00C470BD" w:rsidRPr="009F2EAA" w:rsidRDefault="00C470BD" w:rsidP="009F2EAA">
      <w:pPr>
        <w:numPr>
          <w:ilvl w:val="2"/>
          <w:numId w:val="0"/>
        </w:numPr>
        <w:tabs>
          <w:tab w:val="left" w:pos="1620"/>
        </w:tabs>
        <w:spacing w:before="240" w:after="160"/>
        <w:ind w:hanging="900"/>
        <w:contextualSpacing/>
        <w:jc w:val="both"/>
        <w:rPr>
          <w:rFonts w:eastAsia="Calibri" w:cs="Arial"/>
          <w:sz w:val="20"/>
          <w:szCs w:val="20"/>
        </w:rPr>
      </w:pPr>
    </w:p>
    <w:p w14:paraId="287DE38E"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Cylinders must never be dragged, pushed, or pulled across the floor.</w:t>
      </w:r>
    </w:p>
    <w:p w14:paraId="008F75F6"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 xml:space="preserve">Transport cylinders weighing more than a total of 40 pounds (18.2 kg) on a hand or motorized </w:t>
      </w:r>
      <w:r>
        <w:rPr>
          <w:rFonts w:eastAsia="Calibri"/>
          <w:sz w:val="20"/>
          <w:szCs w:val="20"/>
        </w:rPr>
        <w:tab/>
      </w:r>
      <w:r w:rsidR="009F2EAA" w:rsidRPr="009F2EAA">
        <w:rPr>
          <w:rFonts w:eastAsia="Calibri"/>
          <w:sz w:val="20"/>
          <w:szCs w:val="20"/>
        </w:rPr>
        <w:t>truck, securing them from falling.</w:t>
      </w:r>
    </w:p>
    <w:p w14:paraId="1AAD1AC3"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Keep the cylinders clean and protect them from cuts or abrasions.</w:t>
      </w:r>
    </w:p>
    <w:p w14:paraId="7DE86DC0"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 xml:space="preserve">Where cylinders must be handled by a crane or derrick, carry them in a cradle or suitable platform </w:t>
      </w:r>
      <w:r>
        <w:rPr>
          <w:rFonts w:eastAsia="Calibri"/>
          <w:sz w:val="20"/>
          <w:szCs w:val="20"/>
        </w:rPr>
        <w:tab/>
      </w:r>
      <w:r w:rsidR="009F2EAA" w:rsidRPr="009F2EAA">
        <w:rPr>
          <w:rFonts w:eastAsia="Calibri"/>
          <w:sz w:val="20"/>
          <w:szCs w:val="20"/>
        </w:rPr>
        <w:t xml:space="preserve">and take extreme care that they are not dropped or bumped. </w:t>
      </w:r>
    </w:p>
    <w:p w14:paraId="58C74BF5"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Do no</w:t>
      </w:r>
      <w:r>
        <w:rPr>
          <w:rFonts w:eastAsia="Calibri"/>
          <w:sz w:val="20"/>
          <w:szCs w:val="20"/>
        </w:rPr>
        <w:t>t use slings to hoist cylinders.</w:t>
      </w:r>
    </w:p>
    <w:p w14:paraId="70B9D922"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Do not drop cylinders or allow them to strike each other violently.</w:t>
      </w:r>
    </w:p>
    <w:p w14:paraId="24CBD31B"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Do not use cylinders for rollers, supports, or any purpose other than to contain gas.</w:t>
      </w:r>
    </w:p>
    <w:p w14:paraId="3A6E800F"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Do not tamper with safety devices in valves or on cylinders.</w:t>
      </w:r>
    </w:p>
    <w:p w14:paraId="3C33A3B4"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Clearly write EMPTY in chalk on empty cylinders that are to be returned to the vendor.</w:t>
      </w:r>
    </w:p>
    <w:p w14:paraId="241C0B95" w14:textId="77777777" w:rsidR="00F62B02"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 xml:space="preserve">Close cylinder valves and replace valve protection caps, if the cylinder is designed to accept a </w:t>
      </w:r>
      <w:r>
        <w:rPr>
          <w:rFonts w:eastAsia="Calibri"/>
          <w:sz w:val="20"/>
          <w:szCs w:val="20"/>
        </w:rPr>
        <w:tab/>
      </w:r>
      <w:r w:rsidR="009F2EAA" w:rsidRPr="009F2EAA">
        <w:rPr>
          <w:rFonts w:eastAsia="Calibri"/>
          <w:sz w:val="20"/>
          <w:szCs w:val="20"/>
        </w:rPr>
        <w:t>cap.</w:t>
      </w:r>
      <w:r w:rsidR="00F62B02">
        <w:rPr>
          <w:rFonts w:eastAsia="Calibri"/>
          <w:sz w:val="20"/>
          <w:szCs w:val="20"/>
        </w:rPr>
        <w:t xml:space="preserve"> </w:t>
      </w:r>
    </w:p>
    <w:p w14:paraId="62F508C7" w14:textId="77777777" w:rsidR="009F2EAA" w:rsidRPr="009F2EAA" w:rsidRDefault="00F62B02"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•Only operate valves as designed, such as by hand, with the appropriate tool or as the </w:t>
      </w:r>
      <w:r>
        <w:rPr>
          <w:rFonts w:eastAsia="Calibri"/>
          <w:sz w:val="20"/>
          <w:szCs w:val="20"/>
        </w:rPr>
        <w:tab/>
        <w:t>manufacturer recommends.</w:t>
      </w:r>
    </w:p>
    <w:p w14:paraId="6D5E963A" w14:textId="77777777" w:rsidR="009F2EAA" w:rsidRPr="009F2EAA" w:rsidRDefault="00C470BD" w:rsidP="00C470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Always consider cylinders to be full and handle them with corresponding care.</w:t>
      </w:r>
    </w:p>
    <w:p w14:paraId="60B62A67" w14:textId="77777777" w:rsidR="009F2EAA" w:rsidRPr="009F2EAA" w:rsidRDefault="00C470BD" w:rsidP="009F2EA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9F2EAA" w:rsidRPr="009F2EAA">
        <w:rPr>
          <w:rFonts w:eastAsia="Calibri"/>
          <w:sz w:val="20"/>
          <w:szCs w:val="20"/>
        </w:rPr>
        <w:t xml:space="preserve">Securely </w:t>
      </w:r>
      <w:proofErr w:type="gramStart"/>
      <w:r w:rsidR="009F2EAA" w:rsidRPr="009F2EAA">
        <w:rPr>
          <w:rFonts w:eastAsia="Calibri"/>
          <w:sz w:val="20"/>
          <w:szCs w:val="20"/>
        </w:rPr>
        <w:t>support compressed gas cylinders at all times</w:t>
      </w:r>
      <w:proofErr w:type="gramEnd"/>
      <w:r w:rsidR="009F2EAA" w:rsidRPr="009F2EAA">
        <w:rPr>
          <w:rFonts w:eastAsia="Calibri"/>
          <w:sz w:val="20"/>
          <w:szCs w:val="20"/>
        </w:rPr>
        <w:t xml:space="preserve">. Cylinders must not be left "free-standing" </w:t>
      </w:r>
      <w:r>
        <w:rPr>
          <w:rFonts w:eastAsia="Calibri"/>
          <w:sz w:val="20"/>
          <w:szCs w:val="20"/>
        </w:rPr>
        <w:tab/>
      </w:r>
      <w:r w:rsidR="009F2EAA" w:rsidRPr="009F2EAA">
        <w:rPr>
          <w:rFonts w:eastAsia="Calibri"/>
          <w:sz w:val="20"/>
          <w:szCs w:val="20"/>
        </w:rPr>
        <w:t>at any time.</w:t>
      </w:r>
    </w:p>
    <w:sectPr w:rsidR="009F2EAA" w:rsidRPr="009F2EAA" w:rsidSect="00F7234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822E" w14:textId="77777777" w:rsidR="00BD1A07" w:rsidRDefault="00BD1A07">
      <w:r>
        <w:separator/>
      </w:r>
    </w:p>
  </w:endnote>
  <w:endnote w:type="continuationSeparator" w:id="0">
    <w:p w14:paraId="2C804E42" w14:textId="77777777" w:rsidR="00BD1A07" w:rsidRDefault="00BD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onic-Italic">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7E58" w14:textId="77777777" w:rsidR="006833E5" w:rsidRDefault="00683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53D4" w14:textId="77777777" w:rsidR="00854DE1" w:rsidRDefault="00F72342">
    <w:pPr>
      <w:pStyle w:val="Footer"/>
      <w:jc w:val="center"/>
      <w:rPr>
        <w:rFonts w:ascii="Book Antiqua" w:hAnsi="Book Antiqua"/>
        <w:snapToGrid w:val="0"/>
        <w:sz w:val="22"/>
      </w:rPr>
    </w:pPr>
    <w:r w:rsidRPr="00F72342">
      <w:rPr>
        <w:rFonts w:ascii="Book Antiqua" w:hAnsi="Book Antiqua"/>
        <w:noProof/>
        <w:snapToGrid w:val="0"/>
        <w:sz w:val="22"/>
      </w:rPr>
      <w:drawing>
        <wp:inline distT="0" distB="0" distL="0" distR="0" wp14:anchorId="391F5627" wp14:editId="25A0C5D9">
          <wp:extent cx="1744980" cy="421005"/>
          <wp:effectExtent l="0" t="0" r="7620" b="0"/>
          <wp:docPr id="5" name="Picture 5"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686" cy="428413"/>
                  </a:xfrm>
                  <a:prstGeom prst="rect">
                    <a:avLst/>
                  </a:prstGeom>
                  <a:noFill/>
                  <a:ln>
                    <a:noFill/>
                  </a:ln>
                </pic:spPr>
              </pic:pic>
            </a:graphicData>
          </a:graphic>
        </wp:inline>
      </w:drawing>
    </w:r>
    <w:r w:rsidRPr="00F72342">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0238E17A">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69CCB4E" w14:textId="77777777" w:rsidR="00F72342" w:rsidRDefault="00F72342">
                                <w:pPr>
                                  <w:jc w:val="right"/>
                                  <w:rPr>
                                    <w:color w:val="7F7F7F" w:themeColor="text1" w:themeTint="80"/>
                                  </w:rPr>
                                </w:pPr>
                                <w:r w:rsidRPr="00F72342">
                                  <w:rPr>
                                    <w:color w:val="7F7F7F" w:themeColor="text1" w:themeTint="80"/>
                                    <w:sz w:val="28"/>
                                    <w:szCs w:val="28"/>
                                  </w:rPr>
                                  <w:t>6</w:t>
                                </w:r>
                              </w:p>
                            </w:sdtContent>
                          </w:sdt>
                          <w:p w14:paraId="0830510C" w14:textId="77777777" w:rsidR="00F72342" w:rsidRDefault="00F7234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238E17A"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69CCB4E" w14:textId="77777777" w:rsidR="00F72342" w:rsidRDefault="00F72342">
                          <w:pPr>
                            <w:jc w:val="right"/>
                            <w:rPr>
                              <w:color w:val="7F7F7F" w:themeColor="text1" w:themeTint="80"/>
                            </w:rPr>
                          </w:pPr>
                          <w:r w:rsidRPr="00F72342">
                            <w:rPr>
                              <w:color w:val="7F7F7F" w:themeColor="text1" w:themeTint="80"/>
                              <w:sz w:val="28"/>
                              <w:szCs w:val="28"/>
                            </w:rPr>
                            <w:t>6</w:t>
                          </w:r>
                        </w:p>
                      </w:sdtContent>
                    </w:sdt>
                    <w:p w14:paraId="0830510C" w14:textId="77777777" w:rsidR="00F72342" w:rsidRDefault="00F72342">
                      <w:pPr>
                        <w:jc w:val="right"/>
                        <w:rPr>
                          <w:color w:val="808080" w:themeColor="background1" w:themeShade="80"/>
                        </w:rPr>
                      </w:pPr>
                    </w:p>
                  </w:txbxContent>
                </v:textbox>
              </v:shape>
              <w10:wrap type="square" anchorx="margin" anchory="margin"/>
            </v:group>
          </w:pict>
        </mc:Fallback>
      </mc:AlternateContent>
    </w:r>
    <w:r w:rsidRPr="00F72342">
      <w:rPr>
        <w:rFonts w:ascii="Book Antiqua" w:hAnsi="Book Antiqua"/>
        <w:noProof/>
        <w:snapToGrid w:val="0"/>
        <w:sz w:val="22"/>
      </w:rPr>
      <mc:AlternateContent>
        <mc:Choice Requires="wps">
          <w:drawing>
            <wp:anchor distT="0" distB="0" distL="0" distR="0" simplePos="0" relativeHeight="251661312" behindDoc="0" locked="0" layoutInCell="1" allowOverlap="1" wp14:anchorId="5B2EA77C">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8A8BA" w14:textId="77777777" w:rsidR="00F72342" w:rsidRDefault="00F7234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62B02">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EA77C"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E38A8BA" w14:textId="77777777" w:rsidR="00F72342" w:rsidRDefault="00F7234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62B02">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DE5304">
      <w:rPr>
        <w:rFonts w:ascii="Book Antiqua" w:hAnsi="Book Antiqua"/>
        <w:snapToGrid w:val="0"/>
        <w:sz w:val="22"/>
      </w:rPr>
      <w:t xml:space="preserve"> </w:t>
    </w:r>
    <w:r w:rsidR="00DE5304">
      <w:rPr>
        <w:noProof/>
      </w:rPr>
      <w:drawing>
        <wp:inline distT="0" distB="0" distL="0" distR="0" wp14:anchorId="27DC39A9" wp14:editId="0F60A434">
          <wp:extent cx="1589903" cy="465112"/>
          <wp:effectExtent l="0" t="0" r="0" b="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3152" cy="4719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7250" w14:textId="77777777" w:rsidR="006833E5" w:rsidRDefault="00683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3255" w14:textId="77777777" w:rsidR="00BD1A07" w:rsidRDefault="00BD1A07">
      <w:r>
        <w:separator/>
      </w:r>
    </w:p>
  </w:footnote>
  <w:footnote w:type="continuationSeparator" w:id="0">
    <w:p w14:paraId="3E9A2272" w14:textId="77777777" w:rsidR="00BD1A07" w:rsidRDefault="00BD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670" w14:textId="77777777" w:rsidR="006833E5" w:rsidRDefault="00683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46DC" w14:textId="77777777" w:rsidR="00854DE1" w:rsidRDefault="009F2EAA" w:rsidP="00F431DA">
    <w:pPr>
      <w:keepNext/>
      <w:outlineLvl w:val="2"/>
    </w:pPr>
    <w:r>
      <w:rPr>
        <w:b/>
        <w:szCs w:val="22"/>
      </w:rPr>
      <w:t>COMPRESSED GAS SAFETY</w:t>
    </w:r>
  </w:p>
  <w:p w14:paraId="1F612F5B" w14:textId="77777777" w:rsidR="00854DE1" w:rsidRDefault="00771E5D">
    <w:pPr>
      <w:rPr>
        <w:snapToGrid w:val="0"/>
      </w:rPr>
    </w:pPr>
    <w:r>
      <w:rPr>
        <w:noProof/>
      </w:rPr>
      <mc:AlternateContent>
        <mc:Choice Requires="wps">
          <w:drawing>
            <wp:anchor distT="0" distB="0" distL="114300" distR="114300" simplePos="0" relativeHeight="251659264" behindDoc="0" locked="0" layoutInCell="0" allowOverlap="1" wp14:anchorId="62F055FA">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6E6269D5" w14:textId="77777777" w:rsidR="00854DE1"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5082FDEC" w14:textId="77777777" w:rsidR="00854DE1" w:rsidRDefault="00854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9185" w14:textId="77777777" w:rsidR="006833E5" w:rsidRDefault="00683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41234955">
    <w:abstractNumId w:val="26"/>
  </w:num>
  <w:num w:numId="2" w16cid:durableId="2029484422">
    <w:abstractNumId w:val="16"/>
  </w:num>
  <w:num w:numId="3" w16cid:durableId="1012611012">
    <w:abstractNumId w:val="7"/>
  </w:num>
  <w:num w:numId="4" w16cid:durableId="1127773362">
    <w:abstractNumId w:val="14"/>
  </w:num>
  <w:num w:numId="5" w16cid:durableId="1024206985">
    <w:abstractNumId w:val="1"/>
  </w:num>
  <w:num w:numId="6" w16cid:durableId="231353388">
    <w:abstractNumId w:val="22"/>
  </w:num>
  <w:num w:numId="7" w16cid:durableId="662322202">
    <w:abstractNumId w:val="5"/>
  </w:num>
  <w:num w:numId="8" w16cid:durableId="1704554513">
    <w:abstractNumId w:val="0"/>
  </w:num>
  <w:num w:numId="9" w16cid:durableId="328217105">
    <w:abstractNumId w:val="25"/>
  </w:num>
  <w:num w:numId="10" w16cid:durableId="866329420">
    <w:abstractNumId w:val="3"/>
  </w:num>
  <w:num w:numId="11" w16cid:durableId="63529484">
    <w:abstractNumId w:val="10"/>
  </w:num>
  <w:num w:numId="12" w16cid:durableId="1812333281">
    <w:abstractNumId w:val="21"/>
  </w:num>
  <w:num w:numId="13" w16cid:durableId="1176072234">
    <w:abstractNumId w:val="9"/>
  </w:num>
  <w:num w:numId="14" w16cid:durableId="1788812467">
    <w:abstractNumId w:val="4"/>
  </w:num>
  <w:num w:numId="15" w16cid:durableId="1769621846">
    <w:abstractNumId w:val="18"/>
  </w:num>
  <w:num w:numId="16" w16cid:durableId="631330210">
    <w:abstractNumId w:val="6"/>
  </w:num>
  <w:num w:numId="17" w16cid:durableId="978419468">
    <w:abstractNumId w:val="12"/>
  </w:num>
  <w:num w:numId="18" w16cid:durableId="1268193876">
    <w:abstractNumId w:val="8"/>
  </w:num>
  <w:num w:numId="19" w16cid:durableId="1270702420">
    <w:abstractNumId w:val="17"/>
  </w:num>
  <w:num w:numId="20" w16cid:durableId="724715155">
    <w:abstractNumId w:val="13"/>
  </w:num>
  <w:num w:numId="21" w16cid:durableId="285434886">
    <w:abstractNumId w:val="19"/>
  </w:num>
  <w:num w:numId="22" w16cid:durableId="1162306765">
    <w:abstractNumId w:val="15"/>
  </w:num>
  <w:num w:numId="23" w16cid:durableId="1979412318">
    <w:abstractNumId w:val="2"/>
  </w:num>
  <w:num w:numId="24" w16cid:durableId="1486821507">
    <w:abstractNumId w:val="24"/>
  </w:num>
  <w:num w:numId="25" w16cid:durableId="1586959596">
    <w:abstractNumId w:val="20"/>
  </w:num>
  <w:num w:numId="26" w16cid:durableId="7876155">
    <w:abstractNumId w:val="11"/>
  </w:num>
  <w:num w:numId="27" w16cid:durableId="136534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34DBA"/>
    <w:rsid w:val="000610BE"/>
    <w:rsid w:val="0011489E"/>
    <w:rsid w:val="0012018F"/>
    <w:rsid w:val="00143F4B"/>
    <w:rsid w:val="00202B71"/>
    <w:rsid w:val="00257601"/>
    <w:rsid w:val="0026498E"/>
    <w:rsid w:val="002E177C"/>
    <w:rsid w:val="00456EC3"/>
    <w:rsid w:val="00480E80"/>
    <w:rsid w:val="004D05CF"/>
    <w:rsid w:val="00593E6A"/>
    <w:rsid w:val="0065086D"/>
    <w:rsid w:val="006833E5"/>
    <w:rsid w:val="00771E5D"/>
    <w:rsid w:val="00773A2A"/>
    <w:rsid w:val="007B4D19"/>
    <w:rsid w:val="0082165B"/>
    <w:rsid w:val="00854DE1"/>
    <w:rsid w:val="00865038"/>
    <w:rsid w:val="008D2344"/>
    <w:rsid w:val="00966871"/>
    <w:rsid w:val="0097444D"/>
    <w:rsid w:val="0097467E"/>
    <w:rsid w:val="009F2EAA"/>
    <w:rsid w:val="00A11EB0"/>
    <w:rsid w:val="00AD42F8"/>
    <w:rsid w:val="00BA5782"/>
    <w:rsid w:val="00BD1A07"/>
    <w:rsid w:val="00C27F82"/>
    <w:rsid w:val="00C470BD"/>
    <w:rsid w:val="00C622CD"/>
    <w:rsid w:val="00CD22F2"/>
    <w:rsid w:val="00D373FF"/>
    <w:rsid w:val="00D40E41"/>
    <w:rsid w:val="00D63E8D"/>
    <w:rsid w:val="00DE05AC"/>
    <w:rsid w:val="00DE5304"/>
    <w:rsid w:val="00DE5D0C"/>
    <w:rsid w:val="00F35656"/>
    <w:rsid w:val="00F431DA"/>
    <w:rsid w:val="00F62B02"/>
    <w:rsid w:val="00F72342"/>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8DDD"/>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9F2EAA"/>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9F2EA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9F2E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F2EAA"/>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6c9aa6f5551ce4aac9f707e5866cfbb2&amp;term_occur=1&amp;term_src=Title:49:Subtitle:B:Chapter:I:Subchapter:C:Part:173:Subpart:A:173.6" TargetMode="External"/><Relationship Id="rId18" Type="http://schemas.openxmlformats.org/officeDocument/2006/relationships/hyperlink" Target="https://www.law.cornell.edu/definitions/index.php?width=840&amp;height=800&amp;iframe=true&amp;def_id=6c9aa6f5551ce4aac9f707e5866cfbb2&amp;term_occur=2&amp;term_src=Title:49:Subtitle:B:Chapter:I:Subchapter:C:Part:173:Subpart:A:173.6" TargetMode="External"/><Relationship Id="rId26" Type="http://schemas.openxmlformats.org/officeDocument/2006/relationships/hyperlink" Target="https://www.law.cornell.edu/definitions/index.php?width=840&amp;height=800&amp;iframe=true&amp;def_id=8909a400e9b5beb57c490453b9423bc4&amp;term_occur=4&amp;term_src=Title:49:Subtitle:B:Chapter:I:Subchapter:C:Part:173:Subpart:A:173.6"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2f81e462a47411105565e9cc45e9bbfe&amp;term_occur=2&amp;term_src=Title:49:Subtitle:B:Chapter:I:Subchapter:C:Part:173:Subpart:A:173.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2f81e462a47411105565e9cc45e9bbfe&amp;term_occur=1&amp;term_src=Title:49:Subtitle:B:Chapter:I:Subchapter:C:Part:173:Subpart:A:173.6" TargetMode="External"/><Relationship Id="rId17" Type="http://schemas.openxmlformats.org/officeDocument/2006/relationships/hyperlink" Target="https://www.law.cornell.edu/definitions/index.php?width=840&amp;height=800&amp;iframe=true&amp;def_id=94561b89adcbc580292061e15fd9751d&amp;term_occur=3&amp;term_src=Title:49:Subtitle:B:Chapter:I:Subchapter:C:Part:173:Subpart:A:173.6" TargetMode="External"/><Relationship Id="rId25" Type="http://schemas.openxmlformats.org/officeDocument/2006/relationships/hyperlink" Target="https://www.law.cornell.edu/definitions/index.php?width=840&amp;height=800&amp;iframe=true&amp;def_id=87d15d3a725656a777590760f80c1c80&amp;term_occur=1&amp;term_src=Title:49:Subtitle:B:Chapter:I:Subchapter:C:Part:173:Subpart:A:173.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94561b89adcbc580292061e15fd9751d&amp;term_occur=2&amp;term_src=Title:49:Subtitle:B:Chapter:I:Subchapter:C:Part:173:Subpart:A:173.6" TargetMode="External"/><Relationship Id="rId20" Type="http://schemas.openxmlformats.org/officeDocument/2006/relationships/hyperlink" Target="https://www.law.cornell.edu/definitions/index.php?width=840&amp;height=800&amp;iframe=true&amp;def_id=2213de1fb4189ade29594c53d0205cfc&amp;term_occur=2&amp;term_src=Title:49:Subtitle:B:Chapter:I:Subchapter:C:Part:173:Subpart:A:173.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2213de1fb4189ade29594c53d0205cfc&amp;term_occur=1&amp;term_src=Title:49:Subtitle:B:Chapter:I:Subchapter:C:Part:173:Subpart:A:173.6" TargetMode="External"/><Relationship Id="rId24" Type="http://schemas.openxmlformats.org/officeDocument/2006/relationships/hyperlink" Target="https://www.law.cornell.edu/definitions/index.php?width=840&amp;height=800&amp;iframe=true&amp;def_id=2f81e462a47411105565e9cc45e9bbfe&amp;term_occur=3&amp;term_src=Title:49:Subtitle:B:Chapter:I:Subchapter:C:Part:173:Subpart:A:173.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94561b89adcbc580292061e15fd9751d&amp;term_occur=1&amp;term_src=Title:49:Subtitle:B:Chapter:I:Subchapter:C:Part:173:Subpart:A:173.6" TargetMode="External"/><Relationship Id="rId23" Type="http://schemas.openxmlformats.org/officeDocument/2006/relationships/hyperlink" Target="https://www.law.cornell.edu/cfr/text/49/173.320" TargetMode="External"/><Relationship Id="rId28" Type="http://schemas.openxmlformats.org/officeDocument/2006/relationships/hyperlink" Target="https://www.law.cornell.edu/definitions/index.php?width=840&amp;height=800&amp;iframe=true&amp;def_id=1a87dcb6d74dc77e6c71bf47be6ced0a&amp;term_occur=3&amp;term_src=Title:49:Subtitle:B:Chapter:I:Subchapter:C:Part:173:Subpart:A:173.6" TargetMode="External"/><Relationship Id="rId36" Type="http://schemas.openxmlformats.org/officeDocument/2006/relationships/theme" Target="theme/theme1.xml"/><Relationship Id="rId10" Type="http://schemas.openxmlformats.org/officeDocument/2006/relationships/hyperlink" Target="https://www.law.cornell.edu/definitions/index.php?width=840&amp;height=800&amp;iframe=true&amp;def_id=8909a400e9b5beb57c490453b9423bc4&amp;term_occur=2&amp;term_src=Title:49:Subtitle:B:Chapter:I:Subchapter:C:Part:173:Subpart:A:173.6" TargetMode="External"/><Relationship Id="rId19" Type="http://schemas.openxmlformats.org/officeDocument/2006/relationships/hyperlink" Target="https://www.law.cornell.edu/definitions/index.php?width=840&amp;height=800&amp;iframe=true&amp;def_id=e675961eb603b221ff3a31c2bc615b8c&amp;term_occur=1&amp;term_src=Title:49:Subtitle:B:Chapter:I:Subchapter:C:Part:173:Subpart:A:173.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3c1be00c3cc02e13bc7322f960a0253b&amp;term_occur=1&amp;term_src=Title:49:Subtitle:B:Chapter:I:Subchapter:C:Part:173:Subpart:A:173.6" TargetMode="External"/><Relationship Id="rId14" Type="http://schemas.openxmlformats.org/officeDocument/2006/relationships/hyperlink" Target="https://www.law.cornell.edu/definitions/index.php?width=840&amp;height=800&amp;iframe=true&amp;def_id=83a453a0c107c9f6872bb4adbbcaa9cb&amp;term_occur=1&amp;term_src=Title:49:Subtitle:B:Chapter:I:Subchapter:C:Part:173:Subpart:A:173.6" TargetMode="External"/><Relationship Id="rId22" Type="http://schemas.openxmlformats.org/officeDocument/2006/relationships/hyperlink" Target="https://www.law.cornell.edu/definitions/index.php?width=840&amp;height=800&amp;iframe=true&amp;def_id=866b39b612f337cb4be6c1a1ce6221cb&amp;term_occur=1&amp;term_src=Title:49:Subtitle:B:Chapter:I:Subchapter:C:Part:173:Subpart:A:173.6" TargetMode="External"/><Relationship Id="rId27" Type="http://schemas.openxmlformats.org/officeDocument/2006/relationships/hyperlink" Target="https://www.law.cornell.edu/cfr/text/49/173.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32</cp:revision>
  <cp:lastPrinted>2020-04-13T12:24:00Z</cp:lastPrinted>
  <dcterms:created xsi:type="dcterms:W3CDTF">2017-08-09T12:49:00Z</dcterms:created>
  <dcterms:modified xsi:type="dcterms:W3CDTF">2023-12-22T13:21:00Z</dcterms:modified>
</cp:coreProperties>
</file>